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F128B" w14:textId="77777777" w:rsidR="008F7F21" w:rsidRPr="000160A7" w:rsidRDefault="008F7F21" w:rsidP="00AD6FD7">
      <w:pPr>
        <w:spacing w:line="360" w:lineRule="auto"/>
        <w:ind w:left="567"/>
        <w:rPr>
          <w:rFonts w:asciiTheme="minorHAnsi" w:hAnsiTheme="minorHAnsi" w:cstheme="minorHAnsi"/>
          <w:sz w:val="22"/>
          <w:szCs w:val="22"/>
        </w:rPr>
        <w:sectPr w:rsidR="008F7F21" w:rsidRPr="000160A7" w:rsidSect="00F251FA">
          <w:headerReference w:type="even" r:id="rId9"/>
          <w:headerReference w:type="default" r:id="rId10"/>
          <w:footerReference w:type="even" r:id="rId11"/>
          <w:footerReference w:type="default" r:id="rId12"/>
          <w:headerReference w:type="first" r:id="rId13"/>
          <w:footerReference w:type="first" r:id="rId14"/>
          <w:type w:val="evenPage"/>
          <w:pgSz w:w="11901" w:h="16834" w:code="9"/>
          <w:pgMar w:top="737" w:right="702" w:bottom="1418" w:left="567" w:header="720" w:footer="284" w:gutter="0"/>
          <w:pgNumType w:start="2"/>
          <w:cols w:space="708"/>
          <w:titlePg/>
          <w:docGrid w:linePitch="360"/>
        </w:sectPr>
      </w:pPr>
      <w:bookmarkStart w:id="0" w:name="_GoBack"/>
      <w:bookmarkEnd w:id="0"/>
    </w:p>
    <w:p w14:paraId="2D870589" w14:textId="77777777" w:rsidR="00AD6FD7" w:rsidRDefault="00AD6FD7" w:rsidP="00AD6FD7">
      <w:pPr>
        <w:ind w:left="567"/>
        <w:rPr>
          <w:b/>
          <w:u w:val="single"/>
        </w:rPr>
      </w:pPr>
    </w:p>
    <w:p w14:paraId="2FEC2499" w14:textId="77777777" w:rsidR="00AD6FD7" w:rsidRDefault="00AD6FD7" w:rsidP="00AD6FD7">
      <w:pPr>
        <w:ind w:left="567"/>
        <w:rPr>
          <w:b/>
          <w:u w:val="single"/>
        </w:rPr>
      </w:pPr>
    </w:p>
    <w:p w14:paraId="1144D488" w14:textId="77777777" w:rsidR="00AD6FD7" w:rsidRDefault="00AD6FD7" w:rsidP="00AD6FD7">
      <w:pPr>
        <w:ind w:left="567"/>
        <w:jc w:val="center"/>
        <w:rPr>
          <w:b/>
          <w:u w:val="single"/>
        </w:rPr>
      </w:pPr>
      <w:r w:rsidRPr="00B827F0">
        <w:rPr>
          <w:b/>
          <w:u w:val="single"/>
        </w:rPr>
        <w:t xml:space="preserve">DOSSIER DE INFORMES EMITIDOS POR LA </w:t>
      </w:r>
      <w:r>
        <w:rPr>
          <w:b/>
          <w:u w:val="single"/>
        </w:rPr>
        <w:br/>
      </w:r>
      <w:r w:rsidRPr="00B827F0">
        <w:rPr>
          <w:b/>
          <w:u w:val="single"/>
        </w:rPr>
        <w:t>ABOGACÍA GENERALDEL ESTADO</w:t>
      </w:r>
    </w:p>
    <w:p w14:paraId="189A1BCF" w14:textId="77777777" w:rsidR="00AD6FD7" w:rsidRDefault="00AD6FD7" w:rsidP="00AD6FD7">
      <w:pPr>
        <w:ind w:left="567"/>
        <w:rPr>
          <w:b/>
          <w:u w:val="single"/>
        </w:rPr>
      </w:pPr>
    </w:p>
    <w:p w14:paraId="6B2982BA" w14:textId="77777777" w:rsidR="00AD6FD7" w:rsidRDefault="00AD6FD7" w:rsidP="00AD6FD7">
      <w:pPr>
        <w:ind w:left="567"/>
        <w:rPr>
          <w:b/>
          <w:u w:val="single"/>
        </w:rPr>
      </w:pPr>
    </w:p>
    <w:p w14:paraId="3289120E" w14:textId="77777777" w:rsidR="00AD6FD7" w:rsidRDefault="00AD6FD7" w:rsidP="00AD6FD7">
      <w:pPr>
        <w:pStyle w:val="Prrafodelista"/>
        <w:numPr>
          <w:ilvl w:val="0"/>
          <w:numId w:val="10"/>
        </w:numPr>
        <w:spacing w:after="160" w:line="259" w:lineRule="auto"/>
        <w:ind w:left="567" w:firstLine="0"/>
        <w:rPr>
          <w:b/>
          <w:u w:val="single"/>
        </w:rPr>
      </w:pPr>
      <w:r w:rsidRPr="00B827F0">
        <w:rPr>
          <w:b/>
          <w:u w:val="single"/>
        </w:rPr>
        <w:t>Interpretación DA 3ª RD 463/2020 que declara el estado de alarma en relación con la suspensión de plazos de las licitaciones de una SME (16/03/20)</w:t>
      </w:r>
    </w:p>
    <w:p w14:paraId="4F867FEC" w14:textId="77777777" w:rsidR="00AD6FD7" w:rsidRPr="00B827F0" w:rsidRDefault="00AD6FD7" w:rsidP="00AD6FD7">
      <w:pPr>
        <w:pStyle w:val="Prrafodelista"/>
        <w:spacing w:after="160" w:line="259" w:lineRule="auto"/>
        <w:ind w:left="567"/>
        <w:rPr>
          <w:b/>
          <w:u w:val="single"/>
        </w:rPr>
      </w:pPr>
    </w:p>
    <w:p w14:paraId="75E65C98"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F05ABA">
        <w:rPr>
          <w:rFonts w:ascii="Calibri" w:hAnsi="Calibri" w:cs="Calibri"/>
          <w:i/>
          <w:iCs/>
          <w:color w:val="000000"/>
          <w:sz w:val="22"/>
          <w:szCs w:val="22"/>
        </w:rPr>
        <w:t>“</w:t>
      </w:r>
      <w:r w:rsidRPr="00B827F0">
        <w:rPr>
          <w:rFonts w:ascii="Calibri" w:hAnsi="Calibri" w:cs="Calibri"/>
          <w:i/>
          <w:iCs/>
          <w:color w:val="000000"/>
          <w:sz w:val="22"/>
          <w:szCs w:val="22"/>
        </w:rPr>
        <w:t>Atendiendo a una interpretación literal, sistemática y finalista de la norma, hay que entender que se produce una suspensión automática de todos los procedimientos que tramiten las entidades del sector público, y ello sin distinción de sujetos ni de procedimientos:</w:t>
      </w:r>
    </w:p>
    <w:p w14:paraId="217B2796"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0CAA5C6B"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Desde el punto de vista objetivo, la disposición adicional tercera del Real Decreto 463/2020 alude  a suspensión de términos e interrupción de los plazos para la tramitación "de los procedimientos " de las entidades del sector público. Ello engloba procedimientos administrativos sujetos a la LCSP, a la LPAP, a la normativa tributaria y cualesquiera otros procedimientos que, independientemente de su objeto y regulación, puedan tramitar las entidades del sector público.</w:t>
      </w:r>
    </w:p>
    <w:p w14:paraId="7EA82DD0"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14F28691"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Desde el punto de vista subjetivo, la disposición adicional de continua referencia alude a "entidades del sector público", puntualizando en el apartado 2 que la suspensión de términos y la interrupción de plazos se aplicará "a todo el sector público definido en la Ley 39/2015". El artículo 2 de la Ley 39/2015 define, en su apartado 1, lo que se entiende por sector público, al delimitar el ámbito de aplicación de la Ley, sector público en el que se incluye la Administración General del Estado, las Comunidades Autónomas, las Corporaciones Locales y el sector Institucional. En consecuencia, las entidades del sector institucional forman parte del sector público definido en el artículo2.1 de la Ley 39/2015, al que remite la disposición adicional tercera.2 del Real Decreto 463/2020, a la hora de determinar el ámbito de la suspensión de términos y la interrupción de plazos que impone. Y ello con independencia de las previsiones del  artículo 2, apartado 2, de la Ley 39/2015, referidas al alcance de la sujeción de determinadas entidades del sector público institucional a la propia Ley 39/2015.</w:t>
      </w:r>
    </w:p>
    <w:p w14:paraId="372121D9"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0D1C4C04"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Desde el punto de vista de su finalidad, la disposición adicional tercera del Real Decreto 463/2020 es una medida excepcional, incluida en un Real Decreto que declara el estado de alarma, y cuya finalidad última es preservar la salud humana ante una situación de emergencia sanitaria. No se alcanza a comprender porqué esa finalidad no habría de concurrir respecto de determinados procedimientos, y respecto de determinadas entidades del sector público.</w:t>
      </w:r>
    </w:p>
    <w:p w14:paraId="119CE230"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4A9E0FC6"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xml:space="preserve">- La disposición adicional tercera del Real Decreto 463/2020 admite expresamente excepciones a la regla general de suspensión automática de términos e interrupción, también automática, de plazos de los procedimientos de las entidades del sector público. A esas excepciones se refiere, en concreto, su apartado 3, que permite al órgano competente acordar, motivadamente, medidas de ordenación e instrucción necesarias para evitar perjuicios graves en los intereses y derechos del interesado del procedimiento, e incluso no suspender plazos cuando el interesado muestre su conformidad. Estas </w:t>
      </w:r>
      <w:r w:rsidRPr="00B827F0">
        <w:rPr>
          <w:rFonts w:ascii="Calibri" w:hAnsi="Calibri" w:cs="Calibri"/>
          <w:i/>
          <w:iCs/>
          <w:color w:val="000000"/>
          <w:sz w:val="22"/>
          <w:szCs w:val="22"/>
        </w:rPr>
        <w:lastRenderedPageBreak/>
        <w:t>excepciones deberán acordarse de forma casuística y siempre motivadamente, ponderando los intereses en juego y el interés público que subyace en toda contratación.</w:t>
      </w:r>
    </w:p>
    <w:p w14:paraId="2CCFEB95"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3F8D8600"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Sería deseable para la correcta aplicación de la disposición adicional tercera del Real Decreto 463/2020 que la Plataforma de Contratación del Sector Público actuase conforme a lo que se desprende de la misma. A estos efectos, no parece necesaria la publicación de anuncios de suspensión de términos, plazos o trámites de las licitaciones en curso, pues la suspensión es la regla general y produce efectos automáticos ex lege. Nada obsta, tampoco, a que dicha publicación se produzca, aunque, se insiste, parece innecesaria, y podría llegar a colapsar el funcionamiento de la Plataforma. Sí deberían publicarse, por el contrario, los acuerdos de no suspensión que, de forma motivada,  adopten las entidades del sector público.  </w:t>
      </w:r>
    </w:p>
    <w:p w14:paraId="335A83CB"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327EDBC3"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Esta Publicación, en algunos casos, puede ser de especial relevancia a efectos prácticos. Por ejemplo, si en una licitación pendiente de adjudicación el órgano de contratación acuerda motivadamente no suspender el procedimiento, debería publicarse el acuerdo de adjudicación en la Plataforma para que empiece a correr el plazo de 15 días para la interposición de eventuales recursos especiales en materia de contratación, transcurrido el cual pueda formalizarse el contrato y comenzar su ejecución. En otras palabras, sin dicha publicación, el acuerdo de adjudicación puede tener escasa virtualidad práctica. Y lo mismo puede ocurrir en muchos otros supuestos. </w:t>
      </w:r>
    </w:p>
    <w:p w14:paraId="47C19996" w14:textId="77777777" w:rsidR="00AD6FD7" w:rsidRPr="00F05ABA"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w:t>
      </w:r>
    </w:p>
    <w:p w14:paraId="692DEFD9" w14:textId="77777777" w:rsidR="00AD6FD7"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Si se interpone  recurso especial, la suspensión podrá ser más prolongada de lo habitual, por los efectos que la aplicación de la disposición adicional tercera del Real Decret463/2020 tengan en los procedimientos tramitados ante el TACRC.</w:t>
      </w:r>
      <w:r w:rsidRPr="00F05ABA">
        <w:rPr>
          <w:rFonts w:ascii="Calibri" w:hAnsi="Calibri" w:cs="Calibri"/>
          <w:i/>
          <w:iCs/>
          <w:color w:val="000000"/>
          <w:sz w:val="22"/>
          <w:szCs w:val="22"/>
        </w:rPr>
        <w:t>”</w:t>
      </w:r>
    </w:p>
    <w:p w14:paraId="2257484D" w14:textId="77777777" w:rsidR="00AD6FD7" w:rsidRPr="00F05ABA" w:rsidRDefault="00AD6FD7" w:rsidP="00AD6FD7">
      <w:pPr>
        <w:shd w:val="clear" w:color="auto" w:fill="F4F4F4"/>
        <w:ind w:left="567"/>
        <w:jc w:val="both"/>
        <w:rPr>
          <w:rFonts w:ascii="Calibri" w:hAnsi="Calibri" w:cs="Calibri"/>
          <w:i/>
          <w:iCs/>
          <w:color w:val="000000"/>
          <w:sz w:val="22"/>
          <w:szCs w:val="22"/>
        </w:rPr>
      </w:pPr>
    </w:p>
    <w:p w14:paraId="097D7E1A" w14:textId="77777777" w:rsidR="00AD6FD7" w:rsidRPr="00F05ABA" w:rsidRDefault="00AD6FD7" w:rsidP="00AD6FD7">
      <w:pPr>
        <w:shd w:val="clear" w:color="auto" w:fill="F4F4F4"/>
        <w:ind w:left="567"/>
        <w:jc w:val="both"/>
        <w:rPr>
          <w:rFonts w:ascii="Calibri" w:hAnsi="Calibri" w:cs="Calibri"/>
          <w:i/>
          <w:iCs/>
          <w:color w:val="000000"/>
          <w:sz w:val="22"/>
          <w:szCs w:val="22"/>
        </w:rPr>
      </w:pPr>
    </w:p>
    <w:p w14:paraId="2E5B73E7" w14:textId="77777777" w:rsidR="00AD6FD7" w:rsidRPr="00AD6FD7" w:rsidRDefault="00AD6FD7" w:rsidP="00AD6FD7">
      <w:pPr>
        <w:pStyle w:val="Prrafodelista"/>
        <w:numPr>
          <w:ilvl w:val="0"/>
          <w:numId w:val="10"/>
        </w:numPr>
        <w:spacing w:after="160" w:line="259" w:lineRule="auto"/>
        <w:ind w:left="567" w:firstLine="0"/>
        <w:rPr>
          <w:b/>
          <w:sz w:val="22"/>
          <w:szCs w:val="22"/>
          <w:u w:val="single"/>
        </w:rPr>
      </w:pPr>
      <w:r w:rsidRPr="00B827F0">
        <w:rPr>
          <w:b/>
          <w:u w:val="single"/>
        </w:rPr>
        <w:t xml:space="preserve">Informe sobre modificación de un contrato de limpieza </w:t>
      </w:r>
      <w:r>
        <w:rPr>
          <w:b/>
          <w:u w:val="single"/>
        </w:rPr>
        <w:t>(18/3/20)</w:t>
      </w:r>
    </w:p>
    <w:p w14:paraId="057A3133" w14:textId="77777777" w:rsidR="00AD6FD7" w:rsidRPr="00B827F0" w:rsidRDefault="00AD6FD7" w:rsidP="00AD6FD7">
      <w:pPr>
        <w:pStyle w:val="Prrafodelista"/>
        <w:spacing w:after="160" w:line="259" w:lineRule="auto"/>
        <w:ind w:left="567"/>
        <w:rPr>
          <w:b/>
          <w:sz w:val="22"/>
          <w:szCs w:val="22"/>
          <w:u w:val="single"/>
        </w:rPr>
      </w:pPr>
    </w:p>
    <w:p w14:paraId="3BBE218F"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Vista la petición de informe del Sr.  Delegado de Economía y Hacienda de</w:t>
      </w:r>
      <w:r>
        <w:rPr>
          <w:rFonts w:ascii="Calibri" w:hAnsi="Calibri" w:cs="Calibri"/>
          <w:i/>
          <w:iCs/>
          <w:color w:val="000000"/>
          <w:sz w:val="22"/>
          <w:szCs w:val="22"/>
        </w:rPr>
        <w:t xml:space="preserve"> XX</w:t>
      </w:r>
      <w:r w:rsidRPr="00B827F0">
        <w:rPr>
          <w:rFonts w:ascii="Calibri" w:hAnsi="Calibri" w:cs="Calibri"/>
          <w:i/>
          <w:iCs/>
          <w:color w:val="000000"/>
          <w:sz w:val="22"/>
          <w:szCs w:val="22"/>
        </w:rPr>
        <w:t>, por el que propone  modificar el contrato de limpieza que  vence el próximo día 10 de julio de 2020,  cúmpleme informar lo siguiente:</w:t>
      </w:r>
    </w:p>
    <w:p w14:paraId="081A2EFD"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 xml:space="preserve"> Se propone la modificación por cuanto, tras la situación creada por  el Real Decreto 463/2020, de 14 de marzo, y las  instrucciones de la Subsecretaría, la mayoría del  personal presta servicios a distancia,  y además se ha suspendido el servicio de atención al público. Por ello se entiende que concurre una circunstancia sobrevenida  imprevisible que permitiría modificar el contrato al amparo del art. 205.2 b) de la Ley 9/2017. Y se  propone la reducción del personal que presta el servicio de modo que de cuatro limpiadoras  y un mozo de limpieza especializado, se pase  a dos limpiadoras y el mozo; asimismo se propone la  reducción del  precio a abonar en proporción a  la reducción de la prestación (que es del 48.30 %). Y se propone que la modificación surta  efectos desde el 25 de marzo próximo hasta que se levanten  las restricciones de asistencia física al puesto.</w:t>
      </w:r>
    </w:p>
    <w:p w14:paraId="6F8950B0"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 xml:space="preserve">Una modificación como la prevista no tiene encaje legal, por cuanto  es imposible determinar a priori a qué porcentaje del contrato afectaría, y además es imposible determinar la duración de esa medida. </w:t>
      </w:r>
    </w:p>
    <w:p w14:paraId="01E9534C"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En  el contrato de obras sí se prevé la supresión o  reducción de unidades de obra (art. 242), pero ello no se prevé para el contrato de servicios, incluso  la Ley vigente ha eliminado la previsión que existía  en el  anterior TR  de la reducción o supresión de equipos a mantener o la sustitución de unos equipos por otros (art. 306)</w:t>
      </w:r>
    </w:p>
    <w:p w14:paraId="6F2D38B0"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 xml:space="preserve">En realidad lo que se postula es una suspensión parcial del contrato, pero la suspensión parcial del contrato no tiene cabida en el art.  208 de la Ley 9/2017, el cual solo prevé la suspensión de todo el contrato. </w:t>
      </w:r>
    </w:p>
    <w:p w14:paraId="34E4ACFB"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lastRenderedPageBreak/>
        <w:tab/>
        <w:t xml:space="preserve"> Por lo demás la medida no se ajusta al Real Decreto-ley 8/2020, de 17 de marzo, de medidas urgentes extraordinarias para hacer frente al impacto económico y social del COVID-19 el cual señala en su preámbulo:</w:t>
      </w:r>
    </w:p>
    <w:p w14:paraId="43CCD919"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“En concreto, las medidas adoptadas en este real decreto-ley están orientadas a un triple objetivo. Primero, reforzar la protección de los trabajadores, las familias y los colectivos vulnerables; segundo, apoyar la continuidad en la actividad productiva y el mantenimiento del empleo; y tercero, reforzar la lucha contra la enfermedad.</w:t>
      </w:r>
    </w:p>
    <w:p w14:paraId="24B16B9A"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 xml:space="preserve">Y luego en el art. 34 prevé la suspensión de los contratos de servicios de prestación sucesiva cuando la ejecución devenga imposible  como consecuencia del COVID-19 o de las medidas adoptadas por el Estado, las comunidades autónomas o la Administración local para combatirlo, pero ello solo procederá cuando el órgano de contratación a instancia del contratista  aprecie la imposibilidad de ejecución del contrato como consecuencia de dicha situación.  De esa suspensión se excluyen expresamente  los contratos de  servicios de seguridad, limpieza o de mantenimiento de sistemas informáticos. </w:t>
      </w:r>
    </w:p>
    <w:p w14:paraId="4579AC6A"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En fin  con la modificación propuesta lo que se pretende es que el contratista soporte parte de la carga de la situación creada por el COVID-19, algo que no se acomoda a dicho  RDL.</w:t>
      </w:r>
    </w:p>
    <w:p w14:paraId="67D8448F"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En cierto modo con esa modificación lo que se pretende es  la aplicación de la doctrina del  “factum principis“ (hecho del príncipe) pero en sentido inverso a su significado originario. Ese principio alude a  medidas adoptadas por la Administración en el ejercicio de sus potestades administrativas generales que modifican el contrato no de forma directa, sino indirecta. Requiere para que nazca  un derecho de indemnización a favor del contratista, que las medidas le afecten especialmente, que sean imprevisibles, y que tengan una relación de causalidad con el daño causado. Pero este principio no se ha aplicado para reducir  la prestación que tiene que realizar la Administración.</w:t>
      </w:r>
    </w:p>
    <w:p w14:paraId="6ECB0AEC"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Desde luego en los contratos de larga duración  el desequilibrio económico para una y otra parte puede provenir de circunstancias sobrevenidas al contrato que producen una excesiva onerosidad. Para estos supuestos en general en España se ha aplicado la doctrina del riesgo imprevisible, y se ha optado por la modificación  antes que por la resolución del contrato. No obstante, hoy en día la modificación de los contratos está sometida a reglas muy estrictas. En concreto para los contratos de concesión de obras  y concesión de servicios, en la regulación del mantenimiento del equilibrio económico, la mayor onerosidad solo se tiene en cuenta en casos muy delimitados.</w:t>
      </w:r>
    </w:p>
    <w:p w14:paraId="7E6EEBED" w14:textId="77777777" w:rsidR="00AD6FD7" w:rsidRPr="00B827F0"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 xml:space="preserve"> Pero en este supuesto concreto  sobra  analizar la posible aplicación de la teoría de la mayor onerosidad, por cuanto se trata de una contrato que va a vencer el próximo 1 de julio.  Y además  en un supuesto como el presente el reparto de la mayor onerosidad entendemos que no puede hacerse en función de los criterios que adopte cada uno de los órganos de contratación, sino que  son el Gobierno o las Cortes Generales quienes han de fijar los criterios al respecto.</w:t>
      </w:r>
    </w:p>
    <w:p w14:paraId="005DEE65" w14:textId="77777777" w:rsidR="00AD6FD7" w:rsidRDefault="00AD6FD7" w:rsidP="00AD6FD7">
      <w:pPr>
        <w:shd w:val="clear" w:color="auto" w:fill="F4F4F4"/>
        <w:ind w:left="567"/>
        <w:jc w:val="both"/>
        <w:rPr>
          <w:rFonts w:ascii="Calibri" w:hAnsi="Calibri" w:cs="Calibri"/>
          <w:i/>
          <w:iCs/>
          <w:color w:val="000000"/>
          <w:sz w:val="22"/>
          <w:szCs w:val="22"/>
        </w:rPr>
      </w:pPr>
      <w:r w:rsidRPr="00B827F0">
        <w:rPr>
          <w:rFonts w:ascii="Calibri" w:hAnsi="Calibri" w:cs="Calibri"/>
          <w:i/>
          <w:iCs/>
          <w:color w:val="000000"/>
          <w:sz w:val="22"/>
          <w:szCs w:val="22"/>
        </w:rPr>
        <w:tab/>
        <w:t xml:space="preserve">Por ello se informa desfavorablemente la propuesta de modificación del contrato de limpieza de la Delegación de Economía y Hacienda de  </w:t>
      </w:r>
      <w:r>
        <w:rPr>
          <w:rFonts w:ascii="Calibri" w:hAnsi="Calibri" w:cs="Calibri"/>
          <w:i/>
          <w:iCs/>
          <w:color w:val="000000"/>
          <w:sz w:val="22"/>
          <w:szCs w:val="22"/>
        </w:rPr>
        <w:t>XX</w:t>
      </w:r>
      <w:r w:rsidRPr="00B827F0">
        <w:rPr>
          <w:rFonts w:ascii="Calibri" w:hAnsi="Calibri" w:cs="Calibri"/>
          <w:i/>
          <w:iCs/>
          <w:color w:val="000000"/>
          <w:sz w:val="22"/>
          <w:szCs w:val="22"/>
        </w:rPr>
        <w:t>.</w:t>
      </w:r>
    </w:p>
    <w:p w14:paraId="2E8F3F95" w14:textId="77777777" w:rsidR="00AD6FD7" w:rsidRDefault="00AD6FD7" w:rsidP="00AD6FD7">
      <w:pPr>
        <w:pStyle w:val="NormalWeb"/>
        <w:ind w:left="567"/>
        <w:jc w:val="both"/>
        <w:rPr>
          <w:rFonts w:ascii="Calibri" w:hAnsi="Calibri" w:cs="Calibri"/>
          <w:i/>
          <w:iCs/>
          <w:color w:val="000000"/>
          <w:sz w:val="22"/>
          <w:szCs w:val="22"/>
        </w:rPr>
      </w:pPr>
    </w:p>
    <w:p w14:paraId="4886F505" w14:textId="77777777" w:rsidR="00AD6FD7" w:rsidRDefault="00AD6FD7" w:rsidP="00AD6FD7">
      <w:pPr>
        <w:pStyle w:val="NormalWeb"/>
        <w:ind w:left="567"/>
        <w:jc w:val="both"/>
        <w:rPr>
          <w:rFonts w:ascii="Calibri" w:hAnsi="Calibri" w:cs="Calibri"/>
          <w:i/>
          <w:iCs/>
          <w:color w:val="000000"/>
          <w:sz w:val="22"/>
          <w:szCs w:val="22"/>
        </w:rPr>
      </w:pPr>
    </w:p>
    <w:p w14:paraId="7C72AA63" w14:textId="77777777" w:rsidR="00AD6FD7" w:rsidRPr="00AD6FD7" w:rsidRDefault="00AD6FD7" w:rsidP="00AD6FD7">
      <w:pPr>
        <w:pStyle w:val="Prrafodelista"/>
        <w:numPr>
          <w:ilvl w:val="0"/>
          <w:numId w:val="10"/>
        </w:numPr>
        <w:shd w:val="clear" w:color="auto" w:fill="F4F4F4"/>
        <w:ind w:left="567"/>
        <w:jc w:val="both"/>
        <w:rPr>
          <w:rFonts w:asciiTheme="minorHAnsi" w:eastAsiaTheme="minorHAnsi" w:hAnsiTheme="minorHAnsi"/>
          <w:b/>
          <w:u w:val="single"/>
        </w:rPr>
      </w:pPr>
      <w:r w:rsidRPr="006D3356">
        <w:rPr>
          <w:rFonts w:asciiTheme="minorHAnsi" w:hAnsiTheme="minorHAnsi"/>
          <w:b/>
          <w:u w:val="single"/>
        </w:rPr>
        <w:t xml:space="preserve">Consulta sobre si procede al cerrarse edificios administrativos </w:t>
      </w:r>
      <w:r w:rsidRPr="006D3356">
        <w:rPr>
          <w:b/>
          <w:u w:val="single"/>
        </w:rPr>
        <w:t>suspensión</w:t>
      </w:r>
      <w:r w:rsidRPr="006D3356">
        <w:rPr>
          <w:rFonts w:asciiTheme="minorHAnsi" w:hAnsiTheme="minorHAnsi"/>
          <w:b/>
          <w:u w:val="single"/>
        </w:rPr>
        <w:t xml:space="preserve"> de contratos como seguridad o limpieza.</w:t>
      </w:r>
      <w:r w:rsidRPr="006D3356">
        <w:rPr>
          <w:rFonts w:asciiTheme="minorHAnsi" w:eastAsiaTheme="minorHAnsi" w:hAnsiTheme="minorHAnsi"/>
          <w:b/>
          <w:u w:val="single"/>
        </w:rPr>
        <w:t xml:space="preserve"> </w:t>
      </w:r>
      <w:r>
        <w:rPr>
          <w:b/>
          <w:u w:val="single"/>
        </w:rPr>
        <w:t>(18/3/20)</w:t>
      </w:r>
    </w:p>
    <w:p w14:paraId="55FF958B" w14:textId="77777777" w:rsidR="00AD6FD7" w:rsidRPr="006D3356" w:rsidRDefault="00AD6FD7" w:rsidP="00AD6FD7">
      <w:pPr>
        <w:pStyle w:val="Prrafodelista"/>
        <w:shd w:val="clear" w:color="auto" w:fill="F4F4F4"/>
        <w:ind w:left="567"/>
        <w:jc w:val="both"/>
        <w:rPr>
          <w:rFonts w:asciiTheme="minorHAnsi" w:eastAsiaTheme="minorHAnsi" w:hAnsiTheme="minorHAnsi"/>
          <w:b/>
          <w:u w:val="single"/>
        </w:rPr>
      </w:pPr>
    </w:p>
    <w:p w14:paraId="4918DFD2"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 xml:space="preserve">Al haberse cerrado edificios administrativos no resulta preciso atender servicios tales como los de su seguridad o limpieza. Ante ello se plantea la duda de si procede una suspensión parcial de los contratos (art. 208 LCSP) o una modificación por circunstancias no previstas (art. 205 LCSP). </w:t>
      </w:r>
    </w:p>
    <w:p w14:paraId="5A4F4B76"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p>
    <w:p w14:paraId="2F0ED558"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Aunque la modificación tenga la ventaja de ahorrar al Estado el pago de las indemnizaciones del 208.2 LCSP plantea el serio riesgo de que se califique como un fraude de ley para eludir el pago de dichas indemnizaciones, máxime cuando finalizado el estado de alarma sería precisa una nueva modificación y no tengo claro su encaje en el art. 208 LCSP (la declaración de estado de alarma es una circunstancia sobrevenida e imprevisible, su alzamiento no tanto). En esta línea habría que tener en cuenta que el Consejo de Estado en su dictamen 1093/1991 consideró que la faculta de suspender el contrato debía subsumirse dentro del “ius variandi” de la Administración. Supondría eso que la suspensión se configuraría como un tipo de modificación contractual, sujeto a un procedimiento especial y del mismo modo que no se permite acordar una prórroga por los cauces de la modificación contractual tampoco debiera permitirse su suspensión por esta vía de la modificación.</w:t>
      </w:r>
    </w:p>
    <w:p w14:paraId="671B64E3" w14:textId="77777777" w:rsidR="00AD6FD7" w:rsidRPr="006D3356" w:rsidRDefault="00AD6FD7" w:rsidP="00AD6FD7">
      <w:pPr>
        <w:shd w:val="clear" w:color="auto" w:fill="F4F4F4"/>
        <w:ind w:left="567"/>
        <w:jc w:val="both"/>
        <w:rPr>
          <w:rFonts w:asciiTheme="minorHAnsi" w:hAnsiTheme="minorHAnsi" w:cs="Calibri"/>
          <w:b/>
          <w:color w:val="000000"/>
          <w:sz w:val="22"/>
          <w:szCs w:val="22"/>
          <w:vertAlign w:val="subscript"/>
        </w:rPr>
      </w:pPr>
    </w:p>
    <w:p w14:paraId="20FA4317"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RESPUESTA</w:t>
      </w:r>
    </w:p>
    <w:p w14:paraId="3BEC8F0A"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p>
    <w:p w14:paraId="7D38499F"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Consideramos acertado vuestro criterio. Lo que objetivamente concurre es una suspensión temporal del contrato, derivada del cierre de edificios administrativos acordado por la Administración. No es, en puridad, una modificación contractual, pues la prestación es la misma, solo que deja de realizarse temporalmente, por causas no imputables al contratista. Se suspende temporalmente la prestación de los servicios, pero ello no constituye, desde el punto de vista técnico- jurídico,  una modificación. La LCSP regula ambas figuras, suspensión y modificación, como supuestos distintos, y cada uno ha de aplicarse cuando proceda, según las circunstancias concurrentes. Por ello, las cantidades que deben abonarse al contratista son las que contempla el artículo 208 de la LCSP para el supuesto de suspensión.</w:t>
      </w:r>
    </w:p>
    <w:p w14:paraId="736D548A"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p>
    <w:p w14:paraId="44513508"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La vía de la modificación podría entrañar un fraude en perjuicio del contratista, pues el resultado perseguido sería solo el de ahorrar a la Administración el pago de las cantidades a las que legalmente tiene derecho.</w:t>
      </w:r>
    </w:p>
    <w:p w14:paraId="7A6C5A54"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 xml:space="preserve"> </w:t>
      </w:r>
    </w:p>
    <w:p w14:paraId="29D25455"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r w:rsidRPr="006D3356">
        <w:rPr>
          <w:rFonts w:ascii="Calibri" w:eastAsiaTheme="minorHAnsi" w:hAnsi="Calibri" w:cs="Calibri"/>
          <w:i/>
          <w:iCs/>
          <w:color w:val="000000"/>
          <w:sz w:val="22"/>
          <w:szCs w:val="22"/>
        </w:rPr>
        <w:t xml:space="preserve">Recordad que cuando la suspensión supera en el contrato de servicios los plazos del artículo 313, constituye causa de resolución. Por ello, antes de que llegue ese caso, en los supuestos de suspensión rige el artículo 208. </w:t>
      </w:r>
    </w:p>
    <w:p w14:paraId="04FA18A0" w14:textId="77777777" w:rsidR="00AD6FD7" w:rsidRDefault="00AD6FD7" w:rsidP="00AD6FD7">
      <w:pPr>
        <w:shd w:val="clear" w:color="auto" w:fill="F4F4F4"/>
        <w:ind w:left="567"/>
        <w:jc w:val="both"/>
        <w:rPr>
          <w:rFonts w:ascii="Calibri" w:eastAsiaTheme="minorHAnsi" w:hAnsi="Calibri" w:cs="Calibri"/>
          <w:i/>
          <w:iCs/>
          <w:color w:val="000000"/>
          <w:sz w:val="22"/>
          <w:szCs w:val="22"/>
        </w:rPr>
      </w:pPr>
    </w:p>
    <w:p w14:paraId="098F5A24" w14:textId="77777777" w:rsidR="00AD6FD7" w:rsidRPr="006D3356" w:rsidRDefault="00AD6FD7" w:rsidP="00AD6FD7">
      <w:pPr>
        <w:shd w:val="clear" w:color="auto" w:fill="F4F4F4"/>
        <w:ind w:left="567"/>
        <w:jc w:val="both"/>
        <w:rPr>
          <w:rFonts w:ascii="Calibri" w:eastAsiaTheme="minorHAnsi" w:hAnsi="Calibri" w:cs="Calibri"/>
          <w:i/>
          <w:iCs/>
          <w:color w:val="000000"/>
          <w:sz w:val="22"/>
          <w:szCs w:val="22"/>
        </w:rPr>
      </w:pPr>
    </w:p>
    <w:p w14:paraId="5B81CA67" w14:textId="77777777" w:rsidR="00AD6FD7" w:rsidRPr="006D3356" w:rsidRDefault="00AD6FD7" w:rsidP="00AD6FD7">
      <w:pPr>
        <w:pStyle w:val="Prrafodelista"/>
        <w:numPr>
          <w:ilvl w:val="0"/>
          <w:numId w:val="10"/>
        </w:numPr>
        <w:shd w:val="clear" w:color="auto" w:fill="F4F4F4"/>
        <w:ind w:left="567"/>
        <w:jc w:val="both"/>
        <w:rPr>
          <w:rFonts w:ascii="Calibri" w:hAnsi="Calibri" w:cs="Calibri"/>
          <w:i/>
          <w:iCs/>
          <w:color w:val="000000"/>
        </w:rPr>
      </w:pPr>
      <w:r w:rsidRPr="006D3356">
        <w:rPr>
          <w:rFonts w:ascii="Calibri" w:hAnsi="Calibri" w:cs="Calibri"/>
          <w:b/>
          <w:iCs/>
          <w:color w:val="000000"/>
          <w:u w:val="single"/>
        </w:rPr>
        <w:t>Consulta sobre si los supuestos del apartado 6 del artículo 34 del Real Decreto-ley 8/2020 (que quedan exceptuados del régimen de suspensión de los apartados 1 y 2), cabe acordar una suspensión "ordinaria" del contrato al amparo de la LCSP (artículos 190 y 208</w:t>
      </w:r>
      <w:r w:rsidRPr="006D3356">
        <w:rPr>
          <w:rFonts w:ascii="Calibri" w:hAnsi="Calibri" w:cs="Calibri"/>
          <w:i/>
          <w:iCs/>
          <w:color w:val="000000"/>
        </w:rPr>
        <w:t>).</w:t>
      </w:r>
      <w:r>
        <w:rPr>
          <w:rFonts w:ascii="Calibri" w:hAnsi="Calibri" w:cs="Calibri"/>
          <w:b/>
          <w:iCs/>
          <w:color w:val="000000"/>
          <w:u w:val="single"/>
        </w:rPr>
        <w:t>(18/3/20)</w:t>
      </w:r>
    </w:p>
    <w:p w14:paraId="1D3EBB85" w14:textId="77777777" w:rsidR="00AD6FD7" w:rsidRPr="006D3356" w:rsidRDefault="00AD6FD7" w:rsidP="00AD6FD7">
      <w:pPr>
        <w:shd w:val="clear" w:color="auto" w:fill="F4F4F4"/>
        <w:ind w:left="567"/>
        <w:jc w:val="both"/>
        <w:rPr>
          <w:rFonts w:ascii="Calibri" w:hAnsi="Calibri" w:cs="Calibri"/>
          <w:i/>
          <w:iCs/>
          <w:color w:val="000000"/>
        </w:rPr>
      </w:pPr>
    </w:p>
    <w:p w14:paraId="0AAC9897"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Buenos días, en relación con este tema, a la vista del art. 34 del RD Ley 8/2020, nos ha surgido una nueva duda en relación a la exclusión del art. 34.6 respecto de los contratos de limpieza y seguridad.</w:t>
      </w:r>
    </w:p>
    <w:p w14:paraId="1A667FF8"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La cuestión es si con esa excepción se ha querido excluir la posibilidad ordinaria de suspender esos contratos conforme al art. 190 y 208 de la LCSP, pues en principio, de acuerdo a la literalidad de la norma, sólo se excluye de la suspensión automática del apartado 1, pero no el régimen ordinario de la LCSP. Sin embargo, dado que una de las finalidades evidentes del apartado 1 es mantener el empleo (de ahí que se indemnice el coste salarial del personal adscrito al contrato que no pueda destinarse a otros servicios/suministros, pero no se indemnice en cambio el lucro cesante), nos ha surgido la duda de si la exclusión de dicho apartado 6 se refiere a la posibilidad de suspensión ordinaria (motivada por la innecesariedad de mantener todo el contrato con motivo del cierre de edificios/oficinas), porque es claro que el resto de supuestos del apartado 6 no iban a ser suspendidos (porque son claramente imprescindibles) pero los de seguridad y limpieza no tienen porque serlo en todo caso (y de hecho, pueden dejar de serlo tal cual están configurados).Por ejemplo, cerradas las oficinas de atención al público, deja de ser necesaria la vigilancia en las mismas (o al menos con el número de vigilantes actualmente exigidos) pero si acudimos a la suspensión parcial del art. 190 y 208, esos vigilantes serán objeto de un ERTE porque al contratista no se le indemnizan sus costes salariales sino sólo "Indemnizaciones por extinción o suspensión de los contratos de trabajo".</w:t>
      </w:r>
    </w:p>
    <w:p w14:paraId="69481FE3"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w:t>
      </w:r>
    </w:p>
    <w:p w14:paraId="0EFC3CA8" w14:textId="77777777" w:rsidR="00AD6FD7" w:rsidRPr="006D3356" w:rsidRDefault="00AD6FD7" w:rsidP="00AD6FD7">
      <w:pPr>
        <w:shd w:val="clear" w:color="auto" w:fill="F4F4F4"/>
        <w:ind w:left="567"/>
        <w:jc w:val="both"/>
        <w:rPr>
          <w:rFonts w:ascii="Calibri" w:hAnsi="Calibri" w:cs="Calibri"/>
          <w:i/>
          <w:iCs/>
          <w:color w:val="000000"/>
        </w:rPr>
      </w:pPr>
    </w:p>
    <w:p w14:paraId="7DAFAFCD"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RESPUESTA. Entiendo que la pregunta es si, en los supuestos del apartado 6 del artículo 34 del Real Decreto-ley 8/2020 (que quedan exceptuados del régimen de suspensión de los apartados 1 y 2), cabe acordar una suspensión "ordinaria" del contrato al amparo de la LCSP (artículos 190 y 208).</w:t>
      </w:r>
    </w:p>
    <w:p w14:paraId="57F84335" w14:textId="77777777" w:rsidR="00AD6FD7" w:rsidRPr="006D3356" w:rsidRDefault="00AD6FD7" w:rsidP="00AD6FD7">
      <w:pPr>
        <w:shd w:val="clear" w:color="auto" w:fill="F4F4F4"/>
        <w:ind w:left="567"/>
        <w:jc w:val="both"/>
        <w:rPr>
          <w:rFonts w:ascii="Calibri" w:hAnsi="Calibri" w:cs="Calibri"/>
          <w:i/>
          <w:iCs/>
          <w:color w:val="000000"/>
        </w:rPr>
      </w:pPr>
    </w:p>
    <w:p w14:paraId="6A372C48"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 xml:space="preserve">En principio, entendemos que no. El artículo 34 del citado Real Decreto-ley 8/2020 es una norma excepcional, llamada a regular la situación contractual en el sector público durante el estado de alarma. Mientras dure, hay que estar a lo que dicha norma dispone. No es lógico que el legislador haya querido excluir la suspensión contractual en esos casos, y admitir al mismo tiempo la aplicación del régimen general de suspensión de la LCSP. De haber sido esa su intención, sin duda debería haberlo dicho expresamente, máxime cuando el artículo 34 es un precepto extenso, casuístico y prolijo.  </w:t>
      </w:r>
    </w:p>
    <w:p w14:paraId="61AAB2CD" w14:textId="77777777" w:rsidR="00AD6FD7" w:rsidRPr="006D3356" w:rsidRDefault="00AD6FD7" w:rsidP="00AD6FD7">
      <w:pPr>
        <w:shd w:val="clear" w:color="auto" w:fill="F4F4F4"/>
        <w:ind w:left="567"/>
        <w:jc w:val="both"/>
        <w:rPr>
          <w:rFonts w:ascii="Calibri" w:hAnsi="Calibri" w:cs="Calibri"/>
          <w:i/>
          <w:iCs/>
          <w:color w:val="000000"/>
        </w:rPr>
      </w:pPr>
    </w:p>
    <w:p w14:paraId="6C9A4AD8" w14:textId="77777777" w:rsidR="00AD6FD7" w:rsidRPr="006D3356" w:rsidRDefault="00AD6FD7" w:rsidP="00AD6FD7">
      <w:pPr>
        <w:shd w:val="clear" w:color="auto" w:fill="F4F4F4"/>
        <w:ind w:left="567"/>
        <w:jc w:val="both"/>
        <w:rPr>
          <w:rFonts w:ascii="Calibri" w:hAnsi="Calibri" w:cs="Calibri"/>
          <w:i/>
          <w:iCs/>
          <w:color w:val="000000"/>
        </w:rPr>
      </w:pPr>
      <w:r w:rsidRPr="006D3356">
        <w:rPr>
          <w:rFonts w:ascii="Calibri" w:hAnsi="Calibri" w:cs="Calibri"/>
          <w:i/>
          <w:iCs/>
          <w:color w:val="000000"/>
        </w:rPr>
        <w:t>Por otra parte, los supuestos que excepciona el apartado 6 del artículo 34 se refieren a servicios esenciales en una crisis sanitaria como la que estamos viviendo: limpieza, seguridad, servicios o suministros sanitarios y farmacéuticos, mantenimiento de servicios informáticos, servicios y suministros necesarios para garantizar la movilidad y la seguridad de las infraestructuras y servicios de transporte... Tiene todo el sentido que, mientras dure el estado de alarma, el legislador haya dispuesto que tales servicios no se suspendan. Ni con arreglo al artículo 34 del Real Decreto-ley 8/2020, ni con arreglo a la LCSP.</w:t>
      </w:r>
    </w:p>
    <w:p w14:paraId="763641A4" w14:textId="77777777" w:rsidR="00AD6FD7" w:rsidRDefault="00AD6FD7" w:rsidP="00AD6FD7">
      <w:pPr>
        <w:shd w:val="clear" w:color="auto" w:fill="F4F4F4"/>
        <w:ind w:left="567"/>
        <w:jc w:val="both"/>
        <w:rPr>
          <w:rFonts w:ascii="Calibri" w:hAnsi="Calibri" w:cs="Calibri"/>
          <w:i/>
          <w:iCs/>
          <w:color w:val="000000"/>
        </w:rPr>
      </w:pPr>
    </w:p>
    <w:p w14:paraId="1A81367A" w14:textId="77777777" w:rsidR="00AD6FD7" w:rsidRDefault="00AD6FD7" w:rsidP="00AD6FD7">
      <w:pPr>
        <w:shd w:val="clear" w:color="auto" w:fill="F4F4F4"/>
        <w:ind w:left="567"/>
        <w:jc w:val="both"/>
        <w:rPr>
          <w:rFonts w:ascii="Calibri" w:hAnsi="Calibri" w:cs="Calibri"/>
          <w:i/>
          <w:iCs/>
          <w:color w:val="000000"/>
        </w:rPr>
      </w:pPr>
    </w:p>
    <w:p w14:paraId="6A13B092" w14:textId="77777777" w:rsidR="00AD6FD7" w:rsidRPr="00BB3D73" w:rsidRDefault="00AD6FD7" w:rsidP="00AD6FD7">
      <w:pPr>
        <w:pStyle w:val="Prrafodelista"/>
        <w:numPr>
          <w:ilvl w:val="0"/>
          <w:numId w:val="10"/>
        </w:numPr>
        <w:shd w:val="clear" w:color="auto" w:fill="F4F4F4"/>
        <w:jc w:val="both"/>
        <w:rPr>
          <w:rFonts w:ascii="Calibri" w:hAnsi="Calibri" w:cs="Calibri"/>
          <w:i/>
          <w:iCs/>
          <w:color w:val="000000"/>
        </w:rPr>
      </w:pPr>
      <w:r w:rsidRPr="00BB3D73">
        <w:rPr>
          <w:rFonts w:ascii="Calibri" w:hAnsi="Calibri" w:cs="Calibri"/>
          <w:b/>
          <w:iCs/>
          <w:color w:val="000000"/>
          <w:u w:val="single"/>
        </w:rPr>
        <w:t xml:space="preserve">Informe sobre varias cuestiones  relacionadas con la suspensión de algún trámite en el procedimiento de </w:t>
      </w:r>
      <w:r>
        <w:rPr>
          <w:rFonts w:ascii="Calibri" w:hAnsi="Calibri" w:cs="Calibri"/>
          <w:b/>
          <w:iCs/>
          <w:color w:val="000000"/>
          <w:u w:val="single"/>
        </w:rPr>
        <w:t>contratación</w:t>
      </w:r>
      <w:r w:rsidRPr="00BB3D73">
        <w:rPr>
          <w:rFonts w:ascii="Calibri" w:hAnsi="Calibri" w:cs="Calibri"/>
          <w:b/>
          <w:iCs/>
          <w:color w:val="000000"/>
          <w:u w:val="single"/>
        </w:rPr>
        <w:t>.</w:t>
      </w:r>
      <w:r>
        <w:rPr>
          <w:rFonts w:ascii="Calibri" w:hAnsi="Calibri" w:cs="Calibri"/>
          <w:b/>
          <w:iCs/>
          <w:color w:val="000000"/>
          <w:u w:val="single"/>
        </w:rPr>
        <w:t xml:space="preserve"> N</w:t>
      </w:r>
      <w:r w:rsidRPr="00BB3D73">
        <w:rPr>
          <w:rFonts w:ascii="Calibri" w:hAnsi="Calibri" w:cs="Calibri"/>
          <w:b/>
          <w:iCs/>
          <w:color w:val="000000"/>
          <w:u w:val="single"/>
        </w:rPr>
        <w:t>ecesidad de dar audiencia a todos los licitadores. Suspension  por</w:t>
      </w:r>
      <w:r>
        <w:rPr>
          <w:rFonts w:ascii="Calibri" w:hAnsi="Calibri" w:cs="Calibri"/>
          <w:b/>
          <w:iCs/>
          <w:color w:val="000000"/>
          <w:u w:val="single"/>
        </w:rPr>
        <w:t xml:space="preserve"> </w:t>
      </w:r>
      <w:r w:rsidRPr="00BB3D73">
        <w:rPr>
          <w:rFonts w:ascii="Calibri" w:hAnsi="Calibri" w:cs="Calibri"/>
          <w:b/>
          <w:iCs/>
          <w:color w:val="000000"/>
          <w:u w:val="single"/>
        </w:rPr>
        <w:t xml:space="preserve">interposicion de recurso especial ante el </w:t>
      </w:r>
      <w:r>
        <w:rPr>
          <w:rFonts w:ascii="Calibri" w:hAnsi="Calibri" w:cs="Calibri"/>
          <w:b/>
          <w:iCs/>
          <w:color w:val="000000"/>
          <w:u w:val="single"/>
        </w:rPr>
        <w:t>TARC</w:t>
      </w:r>
      <w:r w:rsidRPr="00BB3D73">
        <w:rPr>
          <w:rFonts w:ascii="Calibri" w:hAnsi="Calibri" w:cs="Calibri"/>
          <w:i/>
          <w:iCs/>
          <w:color w:val="000000"/>
        </w:rPr>
        <w:t>.</w:t>
      </w:r>
      <w:r>
        <w:rPr>
          <w:rFonts w:ascii="Calibri" w:hAnsi="Calibri" w:cs="Calibri"/>
          <w:i/>
          <w:iCs/>
          <w:color w:val="000000"/>
        </w:rPr>
        <w:t xml:space="preserve"> </w:t>
      </w:r>
      <w:r w:rsidRPr="00BB3D73">
        <w:rPr>
          <w:rFonts w:ascii="Calibri" w:hAnsi="Calibri" w:cs="Calibri"/>
          <w:b/>
          <w:i/>
          <w:iCs/>
          <w:color w:val="000000"/>
          <w:u w:val="single"/>
        </w:rPr>
        <w:t>(18/3/20)</w:t>
      </w:r>
    </w:p>
    <w:p w14:paraId="1069D178" w14:textId="77777777" w:rsidR="00AD6FD7" w:rsidRPr="00BB3D73" w:rsidRDefault="00AD6FD7" w:rsidP="00AD6FD7">
      <w:pPr>
        <w:shd w:val="clear" w:color="auto" w:fill="F4F4F4"/>
        <w:ind w:left="567"/>
        <w:jc w:val="both"/>
        <w:rPr>
          <w:rFonts w:ascii="Calibri" w:hAnsi="Calibri" w:cs="Calibri"/>
          <w:i/>
          <w:iCs/>
          <w:color w:val="000000"/>
        </w:rPr>
      </w:pPr>
    </w:p>
    <w:p w14:paraId="4695A8CF" w14:textId="77777777" w:rsidR="00AD6FD7" w:rsidRPr="00BB3D73" w:rsidRDefault="00AD6FD7" w:rsidP="00AD6FD7">
      <w:pPr>
        <w:shd w:val="clear" w:color="auto" w:fill="F4F4F4"/>
        <w:ind w:left="567"/>
        <w:jc w:val="both"/>
        <w:rPr>
          <w:rFonts w:ascii="Calibri" w:hAnsi="Calibri" w:cs="Calibri"/>
          <w:i/>
          <w:iCs/>
          <w:color w:val="000000"/>
        </w:rPr>
      </w:pPr>
      <w:r w:rsidRPr="00BB3D73">
        <w:rPr>
          <w:rFonts w:ascii="Calibri" w:hAnsi="Calibri" w:cs="Calibri"/>
          <w:i/>
          <w:iCs/>
          <w:color w:val="000000"/>
        </w:rPr>
        <w:t>1º. Posibilidad de publicar en la Plataforma la suspensión de algún trámite anunciado en un procedimiento de contratación (disposición adicional tercera del Real Decreto 463/2020). Como ya expresó la Subdirección, entendemos que la suspensión es automática y que no haría falta publicar acuerdos de suspensión en la Plataforma. Pero también dijimos que, siendo innecesario, nada obsta a que dicha publicación se produzca. Silvia García Malsipica circuló ayer una Instrucción de la Plataforma de Contratación del Sector Pública que contempla los trámites para publicar tanto acuerdos de suspensión, como decisiones  motivadas de no suspensión. Si el órgano de contratación considera que la suspensión de determinado trámite (en tu caso, una visita in situ de los licitadores a las instalaciones en las que se ha de ejecutar el contrato) conviene publicarla, no hay problema jurídico ni creo que técnico.</w:t>
      </w:r>
    </w:p>
    <w:p w14:paraId="7679DA39" w14:textId="77777777" w:rsidR="00AD6FD7" w:rsidRPr="00BB3D73" w:rsidRDefault="00AD6FD7" w:rsidP="00AD6FD7">
      <w:pPr>
        <w:shd w:val="clear" w:color="auto" w:fill="F4F4F4"/>
        <w:ind w:left="567"/>
        <w:jc w:val="both"/>
        <w:rPr>
          <w:rFonts w:ascii="Calibri" w:hAnsi="Calibri" w:cs="Calibri"/>
          <w:i/>
          <w:iCs/>
          <w:color w:val="000000"/>
        </w:rPr>
      </w:pPr>
    </w:p>
    <w:p w14:paraId="3BB5B26C" w14:textId="77777777" w:rsidR="00AD6FD7" w:rsidRPr="00BB3D73" w:rsidRDefault="00AD6FD7" w:rsidP="00AD6FD7">
      <w:pPr>
        <w:shd w:val="clear" w:color="auto" w:fill="F4F4F4"/>
        <w:ind w:left="567"/>
        <w:jc w:val="both"/>
        <w:rPr>
          <w:rFonts w:ascii="Calibri" w:hAnsi="Calibri" w:cs="Calibri"/>
          <w:i/>
          <w:iCs/>
          <w:color w:val="000000"/>
        </w:rPr>
      </w:pPr>
      <w:r w:rsidRPr="00BB3D73">
        <w:rPr>
          <w:rFonts w:ascii="Calibri" w:hAnsi="Calibri" w:cs="Calibri"/>
          <w:i/>
          <w:iCs/>
          <w:color w:val="000000"/>
        </w:rPr>
        <w:t>2º. Posibilidad de no suspender la tramitación de un procedimiento de licitación ya ultimado y pendiente sólo de adjudicación: la disposición adicional tercera lo permite, de forma motivada.</w:t>
      </w:r>
    </w:p>
    <w:p w14:paraId="448A9A7F" w14:textId="77777777" w:rsidR="00AD6FD7" w:rsidRPr="00BB3D73" w:rsidRDefault="00AD6FD7" w:rsidP="00AD6FD7">
      <w:pPr>
        <w:shd w:val="clear" w:color="auto" w:fill="F4F4F4"/>
        <w:ind w:left="567"/>
        <w:jc w:val="both"/>
        <w:rPr>
          <w:rFonts w:ascii="Calibri" w:hAnsi="Calibri" w:cs="Calibri"/>
          <w:i/>
          <w:iCs/>
          <w:color w:val="000000"/>
        </w:rPr>
      </w:pPr>
    </w:p>
    <w:p w14:paraId="1455DBFF" w14:textId="77777777" w:rsidR="00AD6FD7" w:rsidRPr="00BB3D73" w:rsidRDefault="00AD6FD7" w:rsidP="00AD6FD7">
      <w:pPr>
        <w:shd w:val="clear" w:color="auto" w:fill="F4F4F4"/>
        <w:ind w:left="567"/>
        <w:jc w:val="both"/>
        <w:rPr>
          <w:rFonts w:ascii="Calibri" w:hAnsi="Calibri" w:cs="Calibri"/>
          <w:i/>
          <w:iCs/>
          <w:color w:val="000000"/>
        </w:rPr>
      </w:pPr>
      <w:r w:rsidRPr="00BB3D73">
        <w:rPr>
          <w:rFonts w:ascii="Calibri" w:hAnsi="Calibri" w:cs="Calibri"/>
          <w:i/>
          <w:iCs/>
          <w:color w:val="000000"/>
        </w:rPr>
        <w:t>Como cuestión  relacionada con la anterior (y que se nos consulta mucho), ¿hay que dar audiencia a todos los licitadores para acordar motivadamente la no suspensión?. Entendemos que no. Hay que diferenciar los interesados en el procedimiento de contratación, que son todos los licitadores, y los interesados en la decisión de no suspensión, que en este caso, cuando el contrato está pendiente de adjudicación, sería solo el licitador propuesto como adjudicatario. Los demás licitadores podrán recurrir el acuerdo de adjudicación, ninguna indefensión se les causa por la decisión de no suspensión, en este estado de tramitación. Por lo demás, admitir que hubiera que dar audiencia a todos los licitadores implicaría admitir que con la mera oposición por parte de uno solo de ellos, la decisión de no suspensión de la Administración, hay que entender fundada en el interés publico que subyace en el contrato, no podría llegar a adoptarse, lo que haría inútil y sin sentido la posibilidad que a tal efecto contempla la disposición adicional tercera del Real Decreto 463/2020.</w:t>
      </w:r>
    </w:p>
    <w:p w14:paraId="3CE581A8" w14:textId="77777777" w:rsidR="00AD6FD7" w:rsidRPr="00BB3D73" w:rsidRDefault="00AD6FD7" w:rsidP="00AD6FD7">
      <w:pPr>
        <w:shd w:val="clear" w:color="auto" w:fill="F4F4F4"/>
        <w:ind w:left="567"/>
        <w:jc w:val="both"/>
        <w:rPr>
          <w:rFonts w:ascii="Calibri" w:hAnsi="Calibri" w:cs="Calibri"/>
          <w:i/>
          <w:iCs/>
          <w:color w:val="000000"/>
        </w:rPr>
      </w:pPr>
    </w:p>
    <w:p w14:paraId="4BABD077" w14:textId="77777777" w:rsidR="00AD6FD7" w:rsidRPr="00BB3D73" w:rsidRDefault="00AD6FD7" w:rsidP="00AD6FD7">
      <w:pPr>
        <w:shd w:val="clear" w:color="auto" w:fill="F4F4F4"/>
        <w:ind w:left="567"/>
        <w:jc w:val="both"/>
        <w:rPr>
          <w:rFonts w:ascii="Calibri" w:hAnsi="Calibri" w:cs="Calibri"/>
          <w:i/>
          <w:iCs/>
          <w:color w:val="000000"/>
        </w:rPr>
      </w:pPr>
      <w:r w:rsidRPr="00BB3D73">
        <w:rPr>
          <w:rFonts w:ascii="Calibri" w:hAnsi="Calibri" w:cs="Calibri"/>
          <w:i/>
          <w:iCs/>
          <w:color w:val="000000"/>
        </w:rPr>
        <w:t>3º. Adjudicado un contrato, hay que esperar 15 días para proceder a su formalización, y en ese periodo de 15 días se puede interponer recurso especial, con efectos suspensivos si se recurre la adjudicación. Hay que entender que los plazos para tramitar y resolver el recurso ante el TARCR se suspenden, salvo que el Tribunal acuerde otra cosa motivadamente. Si se prolonga el estado de alarma mas allá de quince días, no se podría formalizar el contrato ni dar comienzo a su ejecución, ¿Cómo se puede evitar este efecto?</w:t>
      </w:r>
    </w:p>
    <w:p w14:paraId="1969352E" w14:textId="77777777" w:rsidR="00AD6FD7" w:rsidRPr="00BB3D73" w:rsidRDefault="00AD6FD7" w:rsidP="00AD6FD7">
      <w:pPr>
        <w:shd w:val="clear" w:color="auto" w:fill="F4F4F4"/>
        <w:ind w:left="567"/>
        <w:jc w:val="both"/>
        <w:rPr>
          <w:rFonts w:ascii="Calibri" w:hAnsi="Calibri" w:cs="Calibri"/>
          <w:i/>
          <w:iCs/>
          <w:color w:val="000000"/>
        </w:rPr>
      </w:pPr>
    </w:p>
    <w:p w14:paraId="7429F847" w14:textId="77777777" w:rsidR="00AD6FD7" w:rsidRPr="00BB3D73" w:rsidRDefault="00AD6FD7" w:rsidP="00AD6FD7">
      <w:pPr>
        <w:shd w:val="clear" w:color="auto" w:fill="F4F4F4"/>
        <w:ind w:left="567"/>
        <w:jc w:val="both"/>
        <w:rPr>
          <w:rFonts w:ascii="Calibri" w:hAnsi="Calibri" w:cs="Calibri"/>
          <w:i/>
          <w:iCs/>
          <w:color w:val="000000"/>
        </w:rPr>
      </w:pPr>
      <w:r w:rsidRPr="00BB3D73">
        <w:rPr>
          <w:rFonts w:ascii="Calibri" w:hAnsi="Calibri" w:cs="Calibri"/>
          <w:i/>
          <w:iCs/>
          <w:color w:val="000000"/>
        </w:rPr>
        <w:t>Entendemos que esta cuestión, en cierto modo, nos excede como servicio jurídico. Si se prolonga el estado de excepción y hay constancia de la interposición de recursos contra la adjudicación, el órgano de contratación puede valorar la conveniencia de plantear al TARCR que se levante la suspensión, si realmente concurren razones de interés público. Cabe también aplicar la prórroga del contrato vigente, por imposibilidad de formalizar el nuevo, al amparo del artículo 29.4 de la LCSP, con el alcance que permite el artículo 34.1, penúltimo párrafo, del Real Decreto-ley 8/2020.</w:t>
      </w:r>
    </w:p>
    <w:p w14:paraId="0926C271" w14:textId="77777777" w:rsidR="00AD6FD7" w:rsidRDefault="00AD6FD7" w:rsidP="00AD6FD7">
      <w:pPr>
        <w:shd w:val="clear" w:color="auto" w:fill="F4F4F4"/>
        <w:ind w:left="567"/>
        <w:jc w:val="both"/>
        <w:rPr>
          <w:rFonts w:ascii="Calibri" w:hAnsi="Calibri" w:cs="Calibri"/>
          <w:i/>
          <w:iCs/>
          <w:color w:val="000000"/>
        </w:rPr>
      </w:pPr>
    </w:p>
    <w:p w14:paraId="2EFE2C43" w14:textId="77777777" w:rsidR="00AD6FD7" w:rsidRDefault="00AD6FD7" w:rsidP="00AD6FD7">
      <w:pPr>
        <w:shd w:val="clear" w:color="auto" w:fill="F4F4F4"/>
        <w:ind w:left="567"/>
        <w:jc w:val="both"/>
        <w:rPr>
          <w:rFonts w:ascii="Calibri" w:hAnsi="Calibri" w:cs="Calibri"/>
          <w:i/>
          <w:iCs/>
          <w:color w:val="000000"/>
        </w:rPr>
      </w:pPr>
    </w:p>
    <w:p w14:paraId="67F4DD8E" w14:textId="77777777" w:rsidR="00AD6FD7" w:rsidRPr="00AD6FD7" w:rsidRDefault="00AD6FD7" w:rsidP="00AD6FD7">
      <w:pPr>
        <w:pStyle w:val="Prrafodelista"/>
        <w:numPr>
          <w:ilvl w:val="0"/>
          <w:numId w:val="10"/>
        </w:numPr>
        <w:shd w:val="clear" w:color="auto" w:fill="F4F4F4"/>
        <w:ind w:left="567" w:firstLine="0"/>
        <w:jc w:val="both"/>
        <w:rPr>
          <w:rFonts w:ascii="Calibri" w:hAnsi="Calibri" w:cs="Calibri"/>
          <w:i/>
          <w:iCs/>
          <w:color w:val="000000"/>
          <w:sz w:val="22"/>
          <w:szCs w:val="22"/>
        </w:rPr>
      </w:pPr>
      <w:r w:rsidRPr="00BB3D73">
        <w:rPr>
          <w:rFonts w:ascii="Arial" w:hAnsi="Arial" w:cs="Arial"/>
          <w:b/>
          <w:bCs/>
          <w:sz w:val="21"/>
          <w:szCs w:val="21"/>
        </w:rPr>
        <w:t>Consulta sobre el artículo 34.1 del RD-L 8/2020 (párrafos primero y séptimo</w:t>
      </w:r>
      <w:r>
        <w:rPr>
          <w:rFonts w:ascii="Arial" w:hAnsi="Arial" w:cs="Arial"/>
          <w:b/>
          <w:bCs/>
          <w:sz w:val="21"/>
          <w:szCs w:val="21"/>
        </w:rPr>
        <w:t>)</w:t>
      </w:r>
    </w:p>
    <w:p w14:paraId="37E47AE9" w14:textId="77777777" w:rsidR="00AD6FD7" w:rsidRPr="00BB3D73" w:rsidRDefault="00AD6FD7" w:rsidP="00AD6FD7">
      <w:pPr>
        <w:pStyle w:val="Prrafodelista"/>
        <w:shd w:val="clear" w:color="auto" w:fill="F4F4F4"/>
        <w:ind w:left="567"/>
        <w:jc w:val="both"/>
        <w:rPr>
          <w:rFonts w:ascii="Calibri" w:hAnsi="Calibri" w:cs="Calibri"/>
          <w:i/>
          <w:iCs/>
          <w:color w:val="000000"/>
          <w:sz w:val="22"/>
          <w:szCs w:val="22"/>
        </w:rPr>
      </w:pPr>
    </w:p>
    <w:p w14:paraId="534C0CD1" w14:textId="5D789EE1" w:rsidR="00AD6FD7" w:rsidRDefault="00096FBC" w:rsidP="00AD6FD7">
      <w:pPr>
        <w:pStyle w:val="Prrafodelista"/>
        <w:shd w:val="clear" w:color="auto" w:fill="F4F4F4"/>
        <w:ind w:left="567"/>
        <w:jc w:val="both"/>
      </w:pPr>
      <w:r>
        <w:object w:dxaOrig="1137" w:dyaOrig="743" w14:anchorId="64B54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75pt" o:ole="">
            <v:imagedata r:id="rId15" o:title=""/>
          </v:shape>
          <o:OLEObject Type="Embed" ProgID="AcroExch.Document.11" ShapeID="_x0000_i1025" DrawAspect="Icon" ObjectID="_1646749738" r:id="rId16"/>
        </w:object>
      </w:r>
    </w:p>
    <w:p w14:paraId="27949567" w14:textId="77777777" w:rsidR="00AD6FD7" w:rsidRDefault="00AD6FD7" w:rsidP="00AD6FD7">
      <w:pPr>
        <w:pStyle w:val="Prrafodelista"/>
        <w:shd w:val="clear" w:color="auto" w:fill="F4F4F4"/>
        <w:ind w:left="567"/>
        <w:jc w:val="both"/>
      </w:pPr>
    </w:p>
    <w:p w14:paraId="0A346457" w14:textId="77777777" w:rsidR="00AD6FD7" w:rsidRDefault="00AD6FD7" w:rsidP="00AD6FD7">
      <w:pPr>
        <w:pStyle w:val="Prrafodelista"/>
        <w:shd w:val="clear" w:color="auto" w:fill="F4F4F4"/>
        <w:ind w:left="567"/>
        <w:jc w:val="both"/>
      </w:pPr>
    </w:p>
    <w:p w14:paraId="16FA21DE" w14:textId="77777777" w:rsidR="00AD6FD7" w:rsidRPr="007A45F6" w:rsidRDefault="00AD6FD7" w:rsidP="00AD6FD7">
      <w:pPr>
        <w:pStyle w:val="Prrafodelista"/>
        <w:numPr>
          <w:ilvl w:val="0"/>
          <w:numId w:val="10"/>
        </w:numPr>
        <w:shd w:val="clear" w:color="auto" w:fill="F4F4F4"/>
        <w:autoSpaceDE w:val="0"/>
        <w:autoSpaceDN w:val="0"/>
        <w:adjustRightInd w:val="0"/>
        <w:ind w:left="567" w:firstLine="0"/>
        <w:jc w:val="both"/>
        <w:rPr>
          <w:rFonts w:ascii="Calibri" w:hAnsi="Calibri" w:cs="Calibri"/>
          <w:i/>
          <w:iCs/>
          <w:color w:val="000000"/>
          <w:sz w:val="22"/>
          <w:szCs w:val="22"/>
        </w:rPr>
      </w:pPr>
      <w:r w:rsidRPr="00BB3D73">
        <w:rPr>
          <w:rFonts w:ascii="Arial" w:hAnsi="Arial" w:cs="Arial"/>
          <w:b/>
          <w:bCs/>
          <w:sz w:val="21"/>
          <w:szCs w:val="21"/>
        </w:rPr>
        <w:t>Consulta sobre si el artículo 34 del Real Decreto-l 8/2020, resulta aplicable a las sociedades estatales (y fundaciones del sector público)</w:t>
      </w:r>
    </w:p>
    <w:p w14:paraId="14F20756" w14:textId="77777777" w:rsidR="00AD6FD7" w:rsidRDefault="00AD6FD7" w:rsidP="00AD6FD7">
      <w:pPr>
        <w:shd w:val="clear" w:color="auto" w:fill="F4F4F4"/>
        <w:autoSpaceDE w:val="0"/>
        <w:autoSpaceDN w:val="0"/>
        <w:adjustRightInd w:val="0"/>
        <w:ind w:left="567"/>
        <w:jc w:val="both"/>
      </w:pPr>
    </w:p>
    <w:p w14:paraId="24101EDF" w14:textId="77777777" w:rsidR="00AD6FD7" w:rsidRDefault="00AD6FD7" w:rsidP="00AD6FD7">
      <w:pPr>
        <w:shd w:val="clear" w:color="auto" w:fill="F4F4F4"/>
        <w:autoSpaceDE w:val="0"/>
        <w:autoSpaceDN w:val="0"/>
        <w:adjustRightInd w:val="0"/>
        <w:ind w:left="567"/>
        <w:jc w:val="both"/>
      </w:pPr>
    </w:p>
    <w:p w14:paraId="197D266F" w14:textId="77777777" w:rsidR="00AD6FD7" w:rsidRDefault="00AD6FD7" w:rsidP="00AD6FD7">
      <w:pPr>
        <w:shd w:val="clear" w:color="auto" w:fill="F4F4F4"/>
        <w:autoSpaceDE w:val="0"/>
        <w:autoSpaceDN w:val="0"/>
        <w:adjustRightInd w:val="0"/>
        <w:ind w:left="567"/>
        <w:jc w:val="both"/>
      </w:pPr>
      <w:r>
        <w:object w:dxaOrig="1504" w:dyaOrig="983" w14:anchorId="19646AD5">
          <v:shape id="_x0000_i1026" type="#_x0000_t75" style="width:75pt;height:48.75pt" o:ole="">
            <v:imagedata r:id="rId17" o:title=""/>
          </v:shape>
          <o:OLEObject Type="Embed" ProgID="AcroExch.Document.11" ShapeID="_x0000_i1026" DrawAspect="Icon" ObjectID="_1646749739" r:id="rId18"/>
        </w:object>
      </w:r>
    </w:p>
    <w:p w14:paraId="7138267F" w14:textId="77777777" w:rsidR="00AD6FD7" w:rsidRPr="00E21E28" w:rsidRDefault="00AD6FD7" w:rsidP="00AD6FD7">
      <w:pPr>
        <w:pStyle w:val="Prrafodelista"/>
        <w:autoSpaceDE w:val="0"/>
        <w:autoSpaceDN w:val="0"/>
        <w:adjustRightInd w:val="0"/>
        <w:ind w:left="567"/>
        <w:rPr>
          <w:rFonts w:ascii="Calibri" w:hAnsi="Calibri" w:cs="Calibri"/>
          <w:i/>
          <w:iCs/>
          <w:color w:val="000000"/>
          <w:sz w:val="22"/>
          <w:szCs w:val="22"/>
        </w:rPr>
      </w:pPr>
    </w:p>
    <w:p w14:paraId="1229BC7E" w14:textId="77777777" w:rsidR="00AD6FD7" w:rsidRPr="00E21E28" w:rsidRDefault="00AD6FD7" w:rsidP="00AD6FD7">
      <w:pPr>
        <w:pStyle w:val="Prrafodelista"/>
        <w:numPr>
          <w:ilvl w:val="0"/>
          <w:numId w:val="10"/>
        </w:numPr>
        <w:autoSpaceDE w:val="0"/>
        <w:autoSpaceDN w:val="0"/>
        <w:adjustRightInd w:val="0"/>
        <w:ind w:left="567" w:firstLine="0"/>
        <w:rPr>
          <w:rFonts w:ascii="Calibri" w:hAnsi="Calibri" w:cs="Calibri"/>
          <w:i/>
          <w:iCs/>
          <w:color w:val="000000"/>
          <w:sz w:val="22"/>
          <w:szCs w:val="22"/>
        </w:rPr>
      </w:pPr>
      <w:r w:rsidRPr="00E21E28">
        <w:rPr>
          <w:rFonts w:ascii="Arial" w:hAnsi="Arial" w:cs="Arial"/>
          <w:b/>
          <w:bCs/>
          <w:sz w:val="21"/>
          <w:szCs w:val="21"/>
        </w:rPr>
        <w:t>Nota sobre la aplicación de la disposición adicional tercera del Real Decreto 463/2020 a procedimientos sujetos a normativa comunitaria o internacional</w:t>
      </w:r>
    </w:p>
    <w:p w14:paraId="6630E60B" w14:textId="77777777" w:rsidR="00AD6FD7" w:rsidRPr="00E21E28" w:rsidRDefault="00AD6FD7" w:rsidP="00AD6FD7">
      <w:pPr>
        <w:pStyle w:val="Prrafodelista"/>
        <w:autoSpaceDE w:val="0"/>
        <w:autoSpaceDN w:val="0"/>
        <w:adjustRightInd w:val="0"/>
        <w:ind w:left="567"/>
        <w:rPr>
          <w:rFonts w:ascii="Calibri" w:hAnsi="Calibri" w:cs="Calibri"/>
          <w:i/>
          <w:iCs/>
          <w:color w:val="000000"/>
          <w:sz w:val="22"/>
          <w:szCs w:val="22"/>
        </w:rPr>
      </w:pPr>
    </w:p>
    <w:p w14:paraId="7CF61DA4" w14:textId="77777777" w:rsidR="00AD6FD7" w:rsidRDefault="00AD6FD7" w:rsidP="00AD6FD7">
      <w:pPr>
        <w:pStyle w:val="Prrafodelista"/>
        <w:autoSpaceDE w:val="0"/>
        <w:autoSpaceDN w:val="0"/>
        <w:adjustRightInd w:val="0"/>
        <w:ind w:left="567"/>
      </w:pPr>
      <w:r>
        <w:object w:dxaOrig="1504" w:dyaOrig="983" w14:anchorId="3C633204">
          <v:shape id="_x0000_i1027" type="#_x0000_t75" style="width:75pt;height:48.75pt" o:ole="">
            <v:imagedata r:id="rId19" o:title=""/>
          </v:shape>
          <o:OLEObject Type="Embed" ProgID="AcroExch.Document.11" ShapeID="_x0000_i1027" DrawAspect="Icon" ObjectID="_1646749740" r:id="rId20"/>
        </w:object>
      </w:r>
    </w:p>
    <w:p w14:paraId="08DC2121" w14:textId="77777777" w:rsidR="00AD6FD7" w:rsidRDefault="00AD6FD7" w:rsidP="00AD6FD7">
      <w:pPr>
        <w:autoSpaceDE w:val="0"/>
        <w:autoSpaceDN w:val="0"/>
        <w:adjustRightInd w:val="0"/>
        <w:ind w:left="567"/>
        <w:rPr>
          <w:rFonts w:ascii="Arial" w:hAnsi="Arial" w:cs="Arial"/>
          <w:b/>
          <w:bCs/>
          <w:sz w:val="21"/>
          <w:szCs w:val="21"/>
        </w:rPr>
      </w:pPr>
    </w:p>
    <w:p w14:paraId="7FEFAEE6" w14:textId="77777777" w:rsidR="00AD6FD7" w:rsidRDefault="00AD6FD7" w:rsidP="00AD6FD7">
      <w:pPr>
        <w:autoSpaceDE w:val="0"/>
        <w:autoSpaceDN w:val="0"/>
        <w:adjustRightInd w:val="0"/>
        <w:ind w:left="567"/>
        <w:rPr>
          <w:rFonts w:ascii="Arial" w:hAnsi="Arial" w:cs="Arial"/>
          <w:b/>
          <w:bCs/>
          <w:sz w:val="21"/>
          <w:szCs w:val="21"/>
        </w:rPr>
      </w:pPr>
    </w:p>
    <w:p w14:paraId="2915AB70" w14:textId="77777777" w:rsidR="00AD6FD7" w:rsidRDefault="00AD6FD7" w:rsidP="00AD6FD7">
      <w:pPr>
        <w:autoSpaceDE w:val="0"/>
        <w:autoSpaceDN w:val="0"/>
        <w:adjustRightInd w:val="0"/>
        <w:ind w:left="567"/>
        <w:rPr>
          <w:rFonts w:ascii="Arial" w:hAnsi="Arial" w:cs="Arial"/>
          <w:b/>
          <w:bCs/>
          <w:sz w:val="21"/>
          <w:szCs w:val="21"/>
        </w:rPr>
      </w:pPr>
    </w:p>
    <w:p w14:paraId="3F5EA128" w14:textId="77777777" w:rsidR="00AD6FD7" w:rsidRDefault="00AD6FD7" w:rsidP="00AD6FD7">
      <w:pPr>
        <w:autoSpaceDE w:val="0"/>
        <w:autoSpaceDN w:val="0"/>
        <w:adjustRightInd w:val="0"/>
        <w:ind w:left="567"/>
        <w:rPr>
          <w:rFonts w:ascii="Arial" w:hAnsi="Arial" w:cs="Arial"/>
          <w:b/>
          <w:bCs/>
          <w:sz w:val="21"/>
          <w:szCs w:val="21"/>
        </w:rPr>
      </w:pPr>
    </w:p>
    <w:p w14:paraId="2C596196" w14:textId="77777777" w:rsidR="00AD6FD7" w:rsidRPr="00AD6FD7" w:rsidRDefault="00AD6FD7" w:rsidP="00AD6FD7">
      <w:pPr>
        <w:pStyle w:val="Prrafodelista"/>
        <w:numPr>
          <w:ilvl w:val="0"/>
          <w:numId w:val="10"/>
        </w:numPr>
        <w:autoSpaceDE w:val="0"/>
        <w:autoSpaceDN w:val="0"/>
        <w:adjustRightInd w:val="0"/>
        <w:ind w:left="567"/>
        <w:rPr>
          <w:rFonts w:ascii="Calibri" w:hAnsi="Calibri" w:cs="Calibri"/>
          <w:i/>
          <w:iCs/>
          <w:color w:val="000000"/>
          <w:sz w:val="22"/>
          <w:szCs w:val="22"/>
        </w:rPr>
      </w:pPr>
      <w:r w:rsidRPr="00E21E28">
        <w:rPr>
          <w:rFonts w:ascii="Arial" w:hAnsi="Arial" w:cs="Arial"/>
          <w:b/>
          <w:bCs/>
          <w:sz w:val="21"/>
          <w:szCs w:val="21"/>
        </w:rPr>
        <w:t>Nota sobre la aplicación de la ampliación de plazo o prórroga previstas en el artículo 34.2 del Real Decreto-ley 8/2020 a los contratos menores</w:t>
      </w:r>
    </w:p>
    <w:p w14:paraId="7C017A1A" w14:textId="77777777" w:rsidR="00AD6FD7" w:rsidRPr="00E21E28" w:rsidRDefault="00AD6FD7" w:rsidP="00AD6FD7">
      <w:pPr>
        <w:pStyle w:val="Prrafodelista"/>
        <w:autoSpaceDE w:val="0"/>
        <w:autoSpaceDN w:val="0"/>
        <w:adjustRightInd w:val="0"/>
        <w:ind w:left="567"/>
        <w:rPr>
          <w:rFonts w:ascii="Calibri" w:hAnsi="Calibri" w:cs="Calibri"/>
          <w:i/>
          <w:iCs/>
          <w:color w:val="000000"/>
          <w:sz w:val="22"/>
          <w:szCs w:val="22"/>
        </w:rPr>
      </w:pPr>
    </w:p>
    <w:p w14:paraId="5FB623A4" w14:textId="157CC224" w:rsidR="00AD6FD7" w:rsidRDefault="00096FBC" w:rsidP="00AD6FD7">
      <w:pPr>
        <w:pStyle w:val="Prrafodelista"/>
        <w:autoSpaceDE w:val="0"/>
        <w:autoSpaceDN w:val="0"/>
        <w:adjustRightInd w:val="0"/>
        <w:ind w:left="567"/>
      </w:pPr>
      <w:r>
        <w:object w:dxaOrig="1137" w:dyaOrig="743" w14:anchorId="4482859D">
          <v:shape id="_x0000_i1028" type="#_x0000_t75" style="width:57pt;height:36.75pt" o:ole="">
            <v:imagedata r:id="rId21" o:title=""/>
          </v:shape>
          <o:OLEObject Type="Embed" ProgID="AcroExch.Document.11" ShapeID="_x0000_i1028" DrawAspect="Icon" ObjectID="_1646749741" r:id="rId22"/>
        </w:object>
      </w:r>
    </w:p>
    <w:p w14:paraId="69822F81" w14:textId="77777777" w:rsidR="00AD6FD7" w:rsidRDefault="00AD6FD7" w:rsidP="00AD6FD7">
      <w:pPr>
        <w:pStyle w:val="Prrafodelista"/>
        <w:autoSpaceDE w:val="0"/>
        <w:autoSpaceDN w:val="0"/>
        <w:adjustRightInd w:val="0"/>
        <w:ind w:left="567"/>
      </w:pPr>
    </w:p>
    <w:p w14:paraId="42655B67" w14:textId="77777777" w:rsidR="00AD6FD7" w:rsidRDefault="00AD6FD7" w:rsidP="00AD6FD7">
      <w:pPr>
        <w:pStyle w:val="Prrafodelista"/>
        <w:autoSpaceDE w:val="0"/>
        <w:autoSpaceDN w:val="0"/>
        <w:adjustRightInd w:val="0"/>
        <w:ind w:left="567"/>
      </w:pPr>
    </w:p>
    <w:p w14:paraId="45705BB4" w14:textId="77777777" w:rsidR="00AD6FD7" w:rsidRPr="00F05ABA" w:rsidRDefault="00AD6FD7" w:rsidP="00AD6FD7">
      <w:pPr>
        <w:pStyle w:val="Prrafodelista"/>
        <w:numPr>
          <w:ilvl w:val="0"/>
          <w:numId w:val="10"/>
        </w:numPr>
        <w:autoSpaceDE w:val="0"/>
        <w:autoSpaceDN w:val="0"/>
        <w:adjustRightInd w:val="0"/>
        <w:ind w:left="567" w:firstLine="0"/>
        <w:jc w:val="both"/>
        <w:rPr>
          <w:rFonts w:ascii="Arial" w:hAnsi="Arial" w:cs="Arial"/>
          <w:b/>
          <w:bCs/>
          <w:sz w:val="21"/>
          <w:szCs w:val="21"/>
        </w:rPr>
      </w:pPr>
      <w:r w:rsidRPr="00F05ABA">
        <w:rPr>
          <w:rFonts w:ascii="Arial" w:hAnsi="Arial" w:cs="Arial"/>
          <w:b/>
          <w:bCs/>
          <w:sz w:val="21"/>
          <w:szCs w:val="21"/>
        </w:rPr>
        <w:t>Consulta sobre la forma en la que habrá de procederse en el momento que pierda vigencia la suspension de los plazos Previstos por el rd 463/2020. Interpretación de la disposición Adicional tercera.</w:t>
      </w:r>
    </w:p>
    <w:p w14:paraId="027AE7B4" w14:textId="77777777" w:rsidR="00AD6FD7" w:rsidRDefault="00AD6FD7" w:rsidP="00AD6FD7">
      <w:pPr>
        <w:pStyle w:val="Prrafodelista"/>
        <w:autoSpaceDE w:val="0"/>
        <w:autoSpaceDN w:val="0"/>
        <w:adjustRightInd w:val="0"/>
        <w:ind w:left="567"/>
        <w:rPr>
          <w:rFonts w:ascii="Arial" w:hAnsi="Arial" w:cs="Arial"/>
          <w:b/>
          <w:bCs/>
          <w:sz w:val="21"/>
          <w:szCs w:val="21"/>
        </w:rPr>
      </w:pPr>
    </w:p>
    <w:p w14:paraId="401799AA" w14:textId="77777777" w:rsidR="00AD6FD7" w:rsidRDefault="00AD6FD7" w:rsidP="00AD6FD7">
      <w:pPr>
        <w:pStyle w:val="Prrafodelista"/>
        <w:autoSpaceDE w:val="0"/>
        <w:autoSpaceDN w:val="0"/>
        <w:adjustRightInd w:val="0"/>
        <w:ind w:left="567"/>
      </w:pPr>
      <w:r>
        <w:rPr>
          <w:rFonts w:ascii="Arial" w:hAnsi="Arial" w:cs="Arial"/>
          <w:b/>
          <w:bCs/>
          <w:sz w:val="21"/>
          <w:szCs w:val="21"/>
        </w:rPr>
        <w:tab/>
      </w:r>
      <w:r>
        <w:object w:dxaOrig="1504" w:dyaOrig="983" w14:anchorId="5E4CC0C9">
          <v:shape id="_x0000_i1029" type="#_x0000_t75" style="width:75pt;height:48.75pt" o:ole="">
            <v:imagedata r:id="rId23" o:title=""/>
          </v:shape>
          <o:OLEObject Type="Embed" ProgID="AcroExch.Document.11" ShapeID="_x0000_i1029" DrawAspect="Icon" ObjectID="_1646749742" r:id="rId24"/>
        </w:object>
      </w:r>
    </w:p>
    <w:p w14:paraId="646EEE38" w14:textId="77777777" w:rsidR="00AD6FD7" w:rsidRDefault="00AD6FD7" w:rsidP="00AD6FD7">
      <w:pPr>
        <w:pStyle w:val="Prrafodelista"/>
        <w:autoSpaceDE w:val="0"/>
        <w:autoSpaceDN w:val="0"/>
        <w:adjustRightInd w:val="0"/>
        <w:ind w:left="567"/>
      </w:pPr>
    </w:p>
    <w:p w14:paraId="0EB5B490" w14:textId="77777777" w:rsidR="00AD6FD7" w:rsidRPr="00E21E28" w:rsidRDefault="00AD6FD7" w:rsidP="00AD6FD7">
      <w:pPr>
        <w:pStyle w:val="Prrafodelista"/>
        <w:numPr>
          <w:ilvl w:val="0"/>
          <w:numId w:val="10"/>
        </w:numPr>
        <w:autoSpaceDE w:val="0"/>
        <w:autoSpaceDN w:val="0"/>
        <w:adjustRightInd w:val="0"/>
        <w:ind w:left="567" w:firstLine="0"/>
        <w:rPr>
          <w:rFonts w:ascii="Arial" w:hAnsi="Arial" w:cs="Arial"/>
          <w:b/>
          <w:bCs/>
          <w:sz w:val="21"/>
          <w:szCs w:val="21"/>
        </w:rPr>
      </w:pPr>
      <w:r w:rsidRPr="00E21E28">
        <w:rPr>
          <w:rFonts w:ascii="Arial" w:hAnsi="Arial" w:cs="Arial"/>
          <w:b/>
          <w:bCs/>
          <w:sz w:val="21"/>
          <w:szCs w:val="21"/>
        </w:rPr>
        <w:t>Nota sobre la aplicación del régimen de dispensa de garantías en los abonos a cuenta prevista en el artículo 16.2 del Real Decreto- ley 7/2020, en la redacción dada por la disposición final sexta del Real Decreto-ley 8/2020, a la contratación de emergencia de las CCAA.</w:t>
      </w:r>
    </w:p>
    <w:p w14:paraId="6BDCA019" w14:textId="77777777" w:rsidR="00AD6FD7" w:rsidRDefault="00AD6FD7" w:rsidP="00AD6FD7">
      <w:pPr>
        <w:pStyle w:val="Prrafodelista"/>
        <w:autoSpaceDE w:val="0"/>
        <w:autoSpaceDN w:val="0"/>
        <w:adjustRightInd w:val="0"/>
        <w:ind w:left="567"/>
        <w:rPr>
          <w:rFonts w:ascii="Arial" w:hAnsi="Arial" w:cs="Arial"/>
          <w:b/>
          <w:bCs/>
          <w:sz w:val="21"/>
          <w:szCs w:val="21"/>
        </w:rPr>
      </w:pPr>
    </w:p>
    <w:p w14:paraId="09F6CA3C" w14:textId="77777777" w:rsidR="00AD6FD7" w:rsidRPr="00E21E28" w:rsidRDefault="00AD6FD7" w:rsidP="00AD6FD7">
      <w:pPr>
        <w:pStyle w:val="Prrafodelista"/>
        <w:autoSpaceDE w:val="0"/>
        <w:autoSpaceDN w:val="0"/>
        <w:adjustRightInd w:val="0"/>
        <w:ind w:left="567"/>
        <w:rPr>
          <w:rFonts w:ascii="Calibri" w:hAnsi="Calibri" w:cs="Calibri"/>
          <w:i/>
          <w:iCs/>
          <w:color w:val="000000"/>
        </w:rPr>
      </w:pPr>
      <w:r>
        <w:object w:dxaOrig="1504" w:dyaOrig="983" w14:anchorId="418CB650">
          <v:shape id="_x0000_i1030" type="#_x0000_t75" style="width:75pt;height:48.75pt" o:ole="">
            <v:imagedata r:id="rId25" o:title=""/>
          </v:shape>
          <o:OLEObject Type="Embed" ProgID="AcroExch.Document.11" ShapeID="_x0000_i1030" DrawAspect="Icon" ObjectID="_1646749743" r:id="rId26"/>
        </w:object>
      </w:r>
    </w:p>
    <w:p w14:paraId="5BB909AE" w14:textId="77777777" w:rsidR="00AD6FD7" w:rsidRDefault="002307C4" w:rsidP="00AD6FD7">
      <w:pPr>
        <w:spacing w:before="120" w:after="240" w:line="360" w:lineRule="auto"/>
        <w:ind w:left="567" w:right="-285"/>
        <w:jc w:val="right"/>
        <w:rPr>
          <w:rFonts w:asciiTheme="minorHAnsi" w:hAnsiTheme="minorHAnsi" w:cstheme="minorHAnsi"/>
          <w:b/>
          <w:sz w:val="22"/>
          <w:szCs w:val="22"/>
        </w:rPr>
      </w:pPr>
      <w:r>
        <w:rPr>
          <w:rFonts w:asciiTheme="minorHAnsi" w:hAnsiTheme="minorHAnsi" w:cstheme="minorHAnsi"/>
          <w:b/>
          <w:sz w:val="22"/>
          <w:szCs w:val="22"/>
        </w:rPr>
        <w:t>(recopilación</w:t>
      </w:r>
      <w:r w:rsidR="00AD6FD7">
        <w:rPr>
          <w:rFonts w:asciiTheme="minorHAnsi" w:hAnsiTheme="minorHAnsi" w:cstheme="minorHAnsi"/>
          <w:b/>
          <w:sz w:val="22"/>
          <w:szCs w:val="22"/>
        </w:rPr>
        <w:t xml:space="preserve"> de informes recibidos entre el 16/3/20 y el 23/3/20)</w:t>
      </w:r>
    </w:p>
    <w:sectPr w:rsidR="00AD6FD7" w:rsidSect="00AD6FD7">
      <w:type w:val="continuous"/>
      <w:pgSz w:w="11901" w:h="16834" w:code="9"/>
      <w:pgMar w:top="1418" w:right="1701" w:bottom="709" w:left="567" w:header="720"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63047" w14:textId="77777777" w:rsidR="00D56311" w:rsidRDefault="00D56311" w:rsidP="00F358F4">
      <w:r>
        <w:separator/>
      </w:r>
    </w:p>
  </w:endnote>
  <w:endnote w:type="continuationSeparator" w:id="0">
    <w:p w14:paraId="185373DB" w14:textId="77777777" w:rsidR="00D56311" w:rsidRDefault="00D56311" w:rsidP="00F3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DCD8F" w14:textId="77777777" w:rsidR="00096FBC" w:rsidRDefault="00096F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08971"/>
      <w:docPartObj>
        <w:docPartGallery w:val="Page Numbers (Bottom of Page)"/>
        <w:docPartUnique/>
      </w:docPartObj>
    </w:sdtPr>
    <w:sdtEndPr/>
    <w:sdtContent>
      <w:p w14:paraId="2140F79A" w14:textId="77777777" w:rsidR="002E667F" w:rsidRDefault="002E667F">
        <w:pPr>
          <w:pStyle w:val="Piedepgina"/>
          <w:jc w:val="center"/>
        </w:pPr>
        <w:r>
          <w:fldChar w:fldCharType="begin"/>
        </w:r>
        <w:r>
          <w:instrText>PAGE   \* MERGEFORMAT</w:instrText>
        </w:r>
        <w:r>
          <w:fldChar w:fldCharType="separate"/>
        </w:r>
        <w:r w:rsidR="00157FBB">
          <w:rPr>
            <w:noProof/>
          </w:rPr>
          <w:t>2</w:t>
        </w:r>
        <w:r>
          <w:fldChar w:fldCharType="end"/>
        </w:r>
      </w:p>
    </w:sdtContent>
  </w:sdt>
  <w:p w14:paraId="5467A33D" w14:textId="77777777" w:rsidR="002E667F" w:rsidRDefault="002E667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31" w:type="dxa"/>
      <w:tblInd w:w="-567" w:type="dxa"/>
      <w:tblLook w:val="04A0" w:firstRow="1" w:lastRow="0" w:firstColumn="1" w:lastColumn="0" w:noHBand="0" w:noVBand="1"/>
    </w:tblPr>
    <w:tblGrid>
      <w:gridCol w:w="9889"/>
      <w:gridCol w:w="1842"/>
    </w:tblGrid>
    <w:tr w:rsidR="002E667F" w:rsidRPr="008A36D0" w14:paraId="1FF3EC9E" w14:textId="77777777" w:rsidTr="008A36D0">
      <w:tc>
        <w:tcPr>
          <w:tcW w:w="9889" w:type="dxa"/>
          <w:tcBorders>
            <w:right w:val="single" w:sz="4" w:space="0" w:color="auto"/>
          </w:tcBorders>
          <w:shd w:val="clear" w:color="auto" w:fill="auto"/>
        </w:tcPr>
        <w:p w14:paraId="483896A7" w14:textId="77777777" w:rsidR="002E667F" w:rsidRPr="008A36D0" w:rsidRDefault="002E667F" w:rsidP="008A36D0">
          <w:pPr>
            <w:tabs>
              <w:tab w:val="left" w:pos="1021"/>
              <w:tab w:val="left" w:pos="8080"/>
            </w:tabs>
            <w:rPr>
              <w:rFonts w:ascii="Gill Sans MT" w:hAnsi="Gill Sans MT" w:cs="Arial"/>
              <w:sz w:val="14"/>
              <w:szCs w:val="20"/>
              <w:lang w:val="es-ES_tradnl"/>
            </w:rPr>
          </w:pPr>
        </w:p>
        <w:p w14:paraId="3DF85BCF" w14:textId="77777777" w:rsidR="002E667F" w:rsidRPr="008A36D0" w:rsidRDefault="002E667F" w:rsidP="008A36D0">
          <w:pPr>
            <w:tabs>
              <w:tab w:val="left" w:pos="1021"/>
              <w:tab w:val="left" w:pos="8080"/>
            </w:tabs>
            <w:ind w:left="567"/>
            <w:rPr>
              <w:rFonts w:ascii="Gill Sans MT" w:hAnsi="Gill Sans MT" w:cs="Arial"/>
              <w:sz w:val="14"/>
              <w:szCs w:val="20"/>
              <w:lang w:val="es-ES_tradnl"/>
            </w:rPr>
          </w:pPr>
          <w:r>
            <w:rPr>
              <w:rFonts w:ascii="Gill Sans MT" w:hAnsi="Gill Sans MT" w:cs="Arial"/>
              <w:sz w:val="14"/>
              <w:szCs w:val="20"/>
              <w:lang w:val="es-ES_tradnl"/>
            </w:rPr>
            <w:t>www.pap.hacienda</w:t>
          </w:r>
          <w:r w:rsidRPr="008A36D0">
            <w:rPr>
              <w:rFonts w:ascii="Gill Sans MT" w:hAnsi="Gill Sans MT" w:cs="Arial"/>
              <w:sz w:val="14"/>
              <w:szCs w:val="20"/>
              <w:lang w:val="es-ES_tradnl"/>
            </w:rPr>
            <w:t>.gob.es</w:t>
          </w:r>
        </w:p>
        <w:p w14:paraId="7BE6F78D" w14:textId="77777777" w:rsidR="002E667F" w:rsidRPr="008A36D0" w:rsidRDefault="002E667F" w:rsidP="00E30E29">
          <w:pPr>
            <w:ind w:left="567"/>
            <w:jc w:val="both"/>
            <w:rPr>
              <w:rFonts w:ascii="Gill Sans MT" w:hAnsi="Gill Sans MT"/>
              <w:sz w:val="14"/>
              <w:szCs w:val="14"/>
              <w:lang w:val="es-ES_tradnl"/>
            </w:rPr>
          </w:pPr>
          <w:r>
            <w:rPr>
              <w:rFonts w:ascii="Gill Sans MT" w:hAnsi="Gill Sans MT" w:cs="Arial"/>
              <w:sz w:val="14"/>
              <w:szCs w:val="20"/>
              <w:lang w:val="es-ES_tradnl"/>
            </w:rPr>
            <w:t>RCSGEstudiosyCoordinacion</w:t>
          </w:r>
          <w:r w:rsidRPr="004047CF">
            <w:rPr>
              <w:rFonts w:ascii="Gill Sans MT" w:hAnsi="Gill Sans MT" w:cs="Arial"/>
              <w:sz w:val="14"/>
              <w:szCs w:val="20"/>
              <w:lang w:val="es-ES_tradnl"/>
            </w:rPr>
            <w:t>@igae.hacienda.gob.es</w:t>
          </w:r>
        </w:p>
      </w:tc>
      <w:tc>
        <w:tcPr>
          <w:tcW w:w="1842" w:type="dxa"/>
          <w:tcBorders>
            <w:left w:val="single" w:sz="4" w:space="0" w:color="auto"/>
          </w:tcBorders>
          <w:shd w:val="clear" w:color="auto" w:fill="auto"/>
        </w:tcPr>
        <w:p w14:paraId="66B3D6E1" w14:textId="77777777" w:rsidR="002E667F" w:rsidRPr="008A36D0" w:rsidRDefault="002E667F" w:rsidP="008A36D0">
          <w:pPr>
            <w:tabs>
              <w:tab w:val="center" w:pos="4252"/>
              <w:tab w:val="right" w:pos="8504"/>
            </w:tabs>
            <w:spacing w:line="180" w:lineRule="exact"/>
            <w:rPr>
              <w:rFonts w:ascii="GillSans" w:hAnsi="GillSans"/>
              <w:sz w:val="14"/>
              <w:szCs w:val="20"/>
              <w:lang w:val="es-ES_tradnl"/>
            </w:rPr>
          </w:pPr>
          <w:r w:rsidRPr="008A36D0">
            <w:rPr>
              <w:rFonts w:ascii="GillSans" w:hAnsi="GillSans"/>
              <w:sz w:val="14"/>
              <w:szCs w:val="20"/>
              <w:lang w:val="es-ES_tradnl"/>
            </w:rPr>
            <w:t>M</w:t>
          </w:r>
          <w:r>
            <w:rPr>
              <w:rFonts w:ascii="GillSans" w:hAnsi="GillSans"/>
              <w:sz w:val="14"/>
              <w:szCs w:val="20"/>
              <w:lang w:val="es-ES_tradnl"/>
            </w:rPr>
            <w:t>ATEO INURRIA</w:t>
          </w:r>
          <w:r w:rsidRPr="008A36D0">
            <w:rPr>
              <w:rFonts w:ascii="GillSans" w:hAnsi="GillSans"/>
              <w:sz w:val="14"/>
              <w:szCs w:val="20"/>
              <w:lang w:val="es-ES_tradnl"/>
            </w:rPr>
            <w:t xml:space="preserve">, </w:t>
          </w:r>
          <w:r>
            <w:rPr>
              <w:rFonts w:ascii="GillSans" w:hAnsi="GillSans"/>
              <w:sz w:val="14"/>
              <w:szCs w:val="20"/>
              <w:lang w:val="es-ES_tradnl"/>
            </w:rPr>
            <w:t>1</w:t>
          </w:r>
          <w:r w:rsidRPr="008A36D0">
            <w:rPr>
              <w:rFonts w:ascii="GillSans" w:hAnsi="GillSans"/>
              <w:sz w:val="14"/>
              <w:szCs w:val="20"/>
              <w:lang w:val="es-ES_tradnl"/>
            </w:rPr>
            <w:t>5</w:t>
          </w:r>
        </w:p>
        <w:p w14:paraId="1C475CEB" w14:textId="77777777" w:rsidR="002E667F" w:rsidRPr="008A36D0" w:rsidRDefault="002E667F" w:rsidP="008A36D0">
          <w:pPr>
            <w:tabs>
              <w:tab w:val="center" w:pos="4252"/>
              <w:tab w:val="right" w:pos="8504"/>
            </w:tabs>
            <w:spacing w:line="180" w:lineRule="exact"/>
            <w:rPr>
              <w:rFonts w:ascii="GillSans" w:hAnsi="GillSans"/>
              <w:sz w:val="14"/>
              <w:szCs w:val="20"/>
              <w:lang w:val="es-ES_tradnl"/>
            </w:rPr>
          </w:pPr>
          <w:r w:rsidRPr="008A36D0">
            <w:rPr>
              <w:rFonts w:ascii="GillSans" w:hAnsi="GillSans"/>
              <w:sz w:val="14"/>
              <w:szCs w:val="20"/>
              <w:lang w:val="es-ES_tradnl"/>
            </w:rPr>
            <w:t>280</w:t>
          </w:r>
          <w:r>
            <w:rPr>
              <w:rFonts w:ascii="GillSans" w:hAnsi="GillSans"/>
              <w:sz w:val="14"/>
              <w:szCs w:val="20"/>
              <w:lang w:val="es-ES_tradnl"/>
            </w:rPr>
            <w:t>3</w:t>
          </w:r>
          <w:r w:rsidRPr="008A36D0">
            <w:rPr>
              <w:rFonts w:ascii="GillSans" w:hAnsi="GillSans"/>
              <w:sz w:val="14"/>
              <w:szCs w:val="20"/>
              <w:lang w:val="es-ES_tradnl"/>
            </w:rPr>
            <w:t>6 - MADRID</w:t>
          </w:r>
        </w:p>
        <w:p w14:paraId="78C45B6A" w14:textId="77777777" w:rsidR="002E667F" w:rsidRPr="008A36D0" w:rsidRDefault="002E667F" w:rsidP="00DB29B5">
          <w:pPr>
            <w:jc w:val="both"/>
            <w:rPr>
              <w:rFonts w:ascii="Gill Sans MT" w:hAnsi="Gill Sans MT"/>
              <w:sz w:val="14"/>
              <w:szCs w:val="14"/>
              <w:lang w:val="es-ES_tradnl"/>
            </w:rPr>
          </w:pPr>
          <w:r w:rsidRPr="008A36D0">
            <w:rPr>
              <w:rFonts w:ascii="GillSans" w:hAnsi="GillSans"/>
              <w:sz w:val="14"/>
              <w:szCs w:val="20"/>
              <w:lang w:val="es-ES_tradnl"/>
            </w:rPr>
            <w:t>TEL.:</w:t>
          </w:r>
          <w:r>
            <w:rPr>
              <w:rFonts w:ascii="GillSans" w:hAnsi="GillSans"/>
              <w:sz w:val="14"/>
              <w:szCs w:val="20"/>
              <w:lang w:val="es-ES_tradnl"/>
            </w:rPr>
            <w:t xml:space="preserve"> </w:t>
          </w:r>
          <w:r w:rsidRPr="008A36D0">
            <w:rPr>
              <w:rFonts w:ascii="GillSans" w:hAnsi="GillSans"/>
              <w:sz w:val="14"/>
              <w:szCs w:val="20"/>
              <w:lang w:val="es-ES_tradnl"/>
            </w:rPr>
            <w:t>91 536.70.46</w:t>
          </w:r>
        </w:p>
      </w:tc>
    </w:tr>
  </w:tbl>
  <w:p w14:paraId="6BC92DA8" w14:textId="77777777" w:rsidR="002E667F" w:rsidRPr="008A36D0" w:rsidRDefault="002E667F" w:rsidP="0012744C">
    <w:pPr>
      <w:pStyle w:val="Piedepgina"/>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C964F" w14:textId="77777777" w:rsidR="00D56311" w:rsidRDefault="00D56311" w:rsidP="00F358F4">
      <w:r>
        <w:separator/>
      </w:r>
    </w:p>
  </w:footnote>
  <w:footnote w:type="continuationSeparator" w:id="0">
    <w:p w14:paraId="3DD5E3F5" w14:textId="77777777" w:rsidR="00D56311" w:rsidRDefault="00D56311" w:rsidP="00F35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06FAF" w14:textId="77777777" w:rsidR="00096FBC" w:rsidRDefault="00096F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0FF0" w14:textId="77777777" w:rsidR="002E667F" w:rsidRDefault="002E667F" w:rsidP="008F7F21">
    <w:pPr>
      <w:pStyle w:val="Encabezado"/>
      <w:ind w:right="-1282"/>
      <w:jc w:val="right"/>
    </w:pPr>
    <w:r>
      <w:rPr>
        <w:noProof/>
      </w:rPr>
      <w:drawing>
        <wp:inline distT="0" distB="0" distL="0" distR="0" wp14:anchorId="3F15B923" wp14:editId="3F6C4802">
          <wp:extent cx="675640" cy="7715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771525"/>
                  </a:xfrm>
                  <a:prstGeom prst="rect">
                    <a:avLst/>
                  </a:prstGeom>
                  <a:noFill/>
                  <a:ln>
                    <a:noFill/>
                  </a:ln>
                </pic:spPr>
              </pic:pic>
            </a:graphicData>
          </a:graphic>
        </wp:inline>
      </w:drawing>
    </w:r>
  </w:p>
  <w:p w14:paraId="24A21EDD" w14:textId="77777777" w:rsidR="002E667F" w:rsidRDefault="002E667F" w:rsidP="008F7F21">
    <w:pPr>
      <w:pStyle w:val="Encabezado"/>
      <w:ind w:right="-128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6593"/>
      <w:gridCol w:w="2503"/>
    </w:tblGrid>
    <w:tr w:rsidR="002E667F" w14:paraId="0D19793D" w14:textId="77777777" w:rsidTr="00F15A42">
      <w:trPr>
        <w:trHeight w:val="690"/>
      </w:trPr>
      <w:tc>
        <w:tcPr>
          <w:tcW w:w="1536" w:type="dxa"/>
          <w:vMerge w:val="restart"/>
        </w:tcPr>
        <w:p w14:paraId="1D70DBC9" w14:textId="77777777" w:rsidR="002E667F" w:rsidRPr="00D120AF" w:rsidRDefault="002E667F" w:rsidP="000160A7">
          <w:pPr>
            <w:rPr>
              <w:rFonts w:asciiTheme="minorHAnsi" w:hAnsiTheme="minorHAnsi" w:cstheme="minorHAnsi"/>
              <w:sz w:val="6"/>
              <w:szCs w:val="6"/>
            </w:rPr>
          </w:pPr>
          <w:r w:rsidRPr="006D3000">
            <w:rPr>
              <w:rFonts w:asciiTheme="minorHAnsi" w:hAnsiTheme="minorHAnsi" w:cstheme="minorHAnsi"/>
              <w:noProof/>
              <w:sz w:val="18"/>
              <w:szCs w:val="18"/>
            </w:rPr>
            <w:drawing>
              <wp:inline distT="0" distB="0" distL="0" distR="0" wp14:anchorId="38135BD4" wp14:editId="59B6AB75">
                <wp:extent cx="838200" cy="8763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6593" w:type="dxa"/>
          <w:vMerge w:val="restart"/>
        </w:tcPr>
        <w:p w14:paraId="0DAC6086" w14:textId="77777777" w:rsidR="002E667F" w:rsidRDefault="002E667F" w:rsidP="000160A7">
          <w:pPr>
            <w:rPr>
              <w:rFonts w:ascii="Gill Sans MT" w:hAnsi="Gill Sans MT"/>
              <w:sz w:val="18"/>
              <w:szCs w:val="18"/>
            </w:rPr>
          </w:pPr>
        </w:p>
        <w:p w14:paraId="28FFB87E" w14:textId="77777777" w:rsidR="002E667F" w:rsidRDefault="002E667F" w:rsidP="000160A7">
          <w:pPr>
            <w:rPr>
              <w:rFonts w:ascii="Gill Sans MT" w:hAnsi="Gill Sans MT"/>
              <w:sz w:val="18"/>
              <w:szCs w:val="18"/>
            </w:rPr>
          </w:pPr>
        </w:p>
        <w:p w14:paraId="75557C02" w14:textId="77777777" w:rsidR="002E667F" w:rsidRPr="00D120AF" w:rsidRDefault="002E667F" w:rsidP="000160A7">
          <w:pPr>
            <w:rPr>
              <w:rFonts w:ascii="Gill Sans MT" w:hAnsi="Gill Sans MT"/>
              <w:sz w:val="18"/>
              <w:szCs w:val="18"/>
            </w:rPr>
          </w:pPr>
        </w:p>
        <w:p w14:paraId="6B834871" w14:textId="77777777" w:rsidR="002E667F" w:rsidRPr="00881023" w:rsidRDefault="002E667F" w:rsidP="000160A7">
          <w:pPr>
            <w:rPr>
              <w:rFonts w:ascii="Gill Sans MT" w:hAnsi="Gill Sans MT"/>
              <w:sz w:val="18"/>
              <w:szCs w:val="18"/>
            </w:rPr>
          </w:pPr>
        </w:p>
        <w:p w14:paraId="267F10A9" w14:textId="77777777" w:rsidR="002E667F" w:rsidRPr="00881023" w:rsidRDefault="002E667F" w:rsidP="000160A7">
          <w:pPr>
            <w:rPr>
              <w:rFonts w:ascii="GillSans" w:hAnsi="GillSans"/>
              <w:sz w:val="18"/>
              <w:szCs w:val="18"/>
              <w:lang w:val="es-ES_tradnl"/>
            </w:rPr>
          </w:pPr>
          <w:r w:rsidRPr="00881023">
            <w:rPr>
              <w:rFonts w:ascii="GillSans" w:hAnsi="GillSans"/>
              <w:sz w:val="18"/>
              <w:szCs w:val="18"/>
              <w:lang w:val="es-ES_tradnl"/>
            </w:rPr>
            <w:t>MINISTERIO</w:t>
          </w:r>
        </w:p>
        <w:p w14:paraId="73AEF5BD" w14:textId="77777777" w:rsidR="002E667F" w:rsidRPr="00881023" w:rsidRDefault="002E667F" w:rsidP="000160A7">
          <w:pPr>
            <w:rPr>
              <w:rFonts w:ascii="GillSans" w:hAnsi="GillSans"/>
              <w:sz w:val="18"/>
              <w:szCs w:val="18"/>
              <w:lang w:val="es-ES_tradnl"/>
            </w:rPr>
          </w:pPr>
          <w:r w:rsidRPr="00881023">
            <w:rPr>
              <w:rFonts w:ascii="GillSans" w:hAnsi="GillSans"/>
              <w:sz w:val="18"/>
              <w:szCs w:val="18"/>
              <w:lang w:val="es-ES_tradnl"/>
            </w:rPr>
            <w:t>DE HACIENDA</w:t>
          </w:r>
        </w:p>
        <w:p w14:paraId="1A164567" w14:textId="77777777" w:rsidR="002E667F" w:rsidRPr="00881023" w:rsidRDefault="002E667F" w:rsidP="008923C8">
          <w:pPr>
            <w:rPr>
              <w:rFonts w:ascii="Gill Sans MT" w:hAnsi="Gill Sans MT"/>
              <w:sz w:val="18"/>
              <w:szCs w:val="18"/>
            </w:rPr>
          </w:pPr>
        </w:p>
      </w:tc>
      <w:tc>
        <w:tcPr>
          <w:tcW w:w="2503" w:type="dxa"/>
        </w:tcPr>
        <w:p w14:paraId="63715011" w14:textId="77777777" w:rsidR="002E667F" w:rsidRPr="003968AB" w:rsidRDefault="002E667F" w:rsidP="003315DF">
          <w:pPr>
            <w:tabs>
              <w:tab w:val="left" w:pos="7230"/>
            </w:tabs>
            <w:spacing w:before="240" w:after="120"/>
            <w:ind w:left="34" w:right="34"/>
            <w:rPr>
              <w:rFonts w:asciiTheme="minorHAnsi" w:hAnsiTheme="minorHAnsi" w:cstheme="minorHAnsi"/>
              <w:sz w:val="14"/>
              <w:szCs w:val="14"/>
            </w:rPr>
          </w:pPr>
        </w:p>
      </w:tc>
    </w:tr>
    <w:tr w:rsidR="002E667F" w14:paraId="501D70D4" w14:textId="77777777" w:rsidTr="00F15A42">
      <w:trPr>
        <w:trHeight w:val="702"/>
      </w:trPr>
      <w:tc>
        <w:tcPr>
          <w:tcW w:w="1536" w:type="dxa"/>
          <w:vMerge/>
        </w:tcPr>
        <w:p w14:paraId="254CE391" w14:textId="77777777" w:rsidR="002E667F" w:rsidRPr="006D3000" w:rsidRDefault="002E667F" w:rsidP="000160A7">
          <w:pPr>
            <w:rPr>
              <w:rFonts w:asciiTheme="minorHAnsi" w:hAnsiTheme="minorHAnsi" w:cstheme="minorHAnsi"/>
              <w:noProof/>
              <w:sz w:val="18"/>
              <w:szCs w:val="18"/>
            </w:rPr>
          </w:pPr>
        </w:p>
      </w:tc>
      <w:tc>
        <w:tcPr>
          <w:tcW w:w="6593" w:type="dxa"/>
          <w:vMerge/>
        </w:tcPr>
        <w:p w14:paraId="11C2F351" w14:textId="77777777" w:rsidR="002E667F" w:rsidRPr="00D120AF" w:rsidRDefault="002E667F" w:rsidP="000160A7">
          <w:pPr>
            <w:rPr>
              <w:rFonts w:ascii="Gill Sans MT" w:hAnsi="Gill Sans MT"/>
              <w:sz w:val="18"/>
              <w:szCs w:val="18"/>
            </w:rPr>
          </w:pPr>
        </w:p>
      </w:tc>
      <w:tc>
        <w:tcPr>
          <w:tcW w:w="2503" w:type="dxa"/>
        </w:tcPr>
        <w:p w14:paraId="7EFD2265" w14:textId="77777777" w:rsidR="002E667F" w:rsidRPr="003968AB" w:rsidRDefault="002E667F" w:rsidP="00A46FDF">
          <w:pPr>
            <w:tabs>
              <w:tab w:val="left" w:pos="7230"/>
            </w:tabs>
            <w:spacing w:before="120" w:after="120"/>
            <w:ind w:left="34" w:right="33"/>
            <w:rPr>
              <w:rFonts w:ascii="Gill Sans MT" w:hAnsi="Gill Sans MT"/>
              <w:sz w:val="14"/>
              <w:szCs w:val="14"/>
              <w:lang w:val="es-ES_tradnl"/>
            </w:rPr>
          </w:pPr>
          <w:r w:rsidRPr="00E73D2F">
            <w:rPr>
              <w:rFonts w:ascii="Gill Sans MT" w:hAnsi="Gill Sans MT"/>
              <w:sz w:val="14"/>
              <w:szCs w:val="14"/>
              <w:lang w:val="es-ES_tradnl"/>
            </w:rPr>
            <w:t>INTERVENCIÓN GENERA</w:t>
          </w:r>
          <w:r>
            <w:rPr>
              <w:rFonts w:ascii="Gill Sans MT" w:hAnsi="Gill Sans MT"/>
              <w:sz w:val="14"/>
              <w:szCs w:val="14"/>
              <w:lang w:val="es-ES_tradnl"/>
            </w:rPr>
            <w:t>L DE LA ADMINISTRACIÓN DEL ESTA</w:t>
          </w:r>
          <w:r w:rsidRPr="003968AB">
            <w:rPr>
              <w:rFonts w:ascii="Gill Sans MT" w:hAnsi="Gill Sans MT"/>
              <w:sz w:val="14"/>
              <w:szCs w:val="14"/>
              <w:lang w:val="es-ES_tradnl"/>
            </w:rPr>
            <w:t>DO</w:t>
          </w:r>
        </w:p>
      </w:tc>
    </w:tr>
  </w:tbl>
  <w:p w14:paraId="147E63D6" w14:textId="77777777" w:rsidR="002E667F" w:rsidRDefault="002E667F" w:rsidP="004F36B3">
    <w:pPr>
      <w:pStyle w:val="Encabezado"/>
      <w:ind w:left="567"/>
      <w:rPr>
        <w:rFonts w:asciiTheme="minorHAnsi" w:hAnsiTheme="minorHAnsi" w:cstheme="minorHAnsi"/>
        <w:sz w:val="18"/>
        <w:szCs w:val="18"/>
      </w:rPr>
    </w:pPr>
  </w:p>
  <w:p w14:paraId="4FC8D505" w14:textId="77777777" w:rsidR="002E667F" w:rsidRPr="00EF46AC" w:rsidRDefault="002E667F" w:rsidP="004F36B3">
    <w:pPr>
      <w:pStyle w:val="Encabezado"/>
      <w:ind w:left="567"/>
      <w:rPr>
        <w:rFonts w:asciiTheme="minorHAnsi" w:hAnsiTheme="minorHAnsi" w:cs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4770"/>
    <w:multiLevelType w:val="hybridMultilevel"/>
    <w:tmpl w:val="A83C7EFE"/>
    <w:lvl w:ilvl="0" w:tplc="06FAEDDA">
      <w:numFmt w:val="bullet"/>
      <w:lvlText w:val="-"/>
      <w:lvlJc w:val="left"/>
      <w:pPr>
        <w:ind w:left="1429" w:hanging="360"/>
      </w:pPr>
      <w:rPr>
        <w:rFonts w:ascii="Calibri" w:eastAsiaTheme="minorHAnsi" w:hAnsi="Calibri" w:cstheme="minorBidi"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1BE13DFB"/>
    <w:multiLevelType w:val="hybridMultilevel"/>
    <w:tmpl w:val="0DB437CC"/>
    <w:lvl w:ilvl="0" w:tplc="36A0F44E">
      <w:start w:val="1"/>
      <w:numFmt w:val="decimal"/>
      <w:lvlText w:val="%1."/>
      <w:lvlJc w:val="left"/>
      <w:pPr>
        <w:ind w:left="1497" w:hanging="360"/>
      </w:pPr>
      <w:rPr>
        <w:rFonts w:hint="default"/>
      </w:rPr>
    </w:lvl>
    <w:lvl w:ilvl="1" w:tplc="0C0A0019" w:tentative="1">
      <w:start w:val="1"/>
      <w:numFmt w:val="lowerLetter"/>
      <w:lvlText w:val="%2."/>
      <w:lvlJc w:val="left"/>
      <w:pPr>
        <w:ind w:left="2217" w:hanging="360"/>
      </w:pPr>
    </w:lvl>
    <w:lvl w:ilvl="2" w:tplc="0C0A001B" w:tentative="1">
      <w:start w:val="1"/>
      <w:numFmt w:val="lowerRoman"/>
      <w:lvlText w:val="%3."/>
      <w:lvlJc w:val="right"/>
      <w:pPr>
        <w:ind w:left="2937" w:hanging="180"/>
      </w:pPr>
    </w:lvl>
    <w:lvl w:ilvl="3" w:tplc="0C0A000F" w:tentative="1">
      <w:start w:val="1"/>
      <w:numFmt w:val="decimal"/>
      <w:lvlText w:val="%4."/>
      <w:lvlJc w:val="left"/>
      <w:pPr>
        <w:ind w:left="3657" w:hanging="360"/>
      </w:pPr>
    </w:lvl>
    <w:lvl w:ilvl="4" w:tplc="0C0A0019" w:tentative="1">
      <w:start w:val="1"/>
      <w:numFmt w:val="lowerLetter"/>
      <w:lvlText w:val="%5."/>
      <w:lvlJc w:val="left"/>
      <w:pPr>
        <w:ind w:left="4377" w:hanging="360"/>
      </w:pPr>
    </w:lvl>
    <w:lvl w:ilvl="5" w:tplc="0C0A001B" w:tentative="1">
      <w:start w:val="1"/>
      <w:numFmt w:val="lowerRoman"/>
      <w:lvlText w:val="%6."/>
      <w:lvlJc w:val="right"/>
      <w:pPr>
        <w:ind w:left="5097" w:hanging="180"/>
      </w:pPr>
    </w:lvl>
    <w:lvl w:ilvl="6" w:tplc="0C0A000F" w:tentative="1">
      <w:start w:val="1"/>
      <w:numFmt w:val="decimal"/>
      <w:lvlText w:val="%7."/>
      <w:lvlJc w:val="left"/>
      <w:pPr>
        <w:ind w:left="5817" w:hanging="360"/>
      </w:pPr>
    </w:lvl>
    <w:lvl w:ilvl="7" w:tplc="0C0A0019" w:tentative="1">
      <w:start w:val="1"/>
      <w:numFmt w:val="lowerLetter"/>
      <w:lvlText w:val="%8."/>
      <w:lvlJc w:val="left"/>
      <w:pPr>
        <w:ind w:left="6537" w:hanging="360"/>
      </w:pPr>
    </w:lvl>
    <w:lvl w:ilvl="8" w:tplc="0C0A001B" w:tentative="1">
      <w:start w:val="1"/>
      <w:numFmt w:val="lowerRoman"/>
      <w:lvlText w:val="%9."/>
      <w:lvlJc w:val="right"/>
      <w:pPr>
        <w:ind w:left="7257" w:hanging="180"/>
      </w:pPr>
    </w:lvl>
  </w:abstractNum>
  <w:abstractNum w:abstractNumId="2">
    <w:nsid w:val="3E910DF6"/>
    <w:multiLevelType w:val="hybridMultilevel"/>
    <w:tmpl w:val="50E6004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74234CA"/>
    <w:multiLevelType w:val="hybridMultilevel"/>
    <w:tmpl w:val="ED80CCF4"/>
    <w:lvl w:ilvl="0" w:tplc="06FAEDDA">
      <w:numFmt w:val="bullet"/>
      <w:lvlText w:val="-"/>
      <w:lvlJc w:val="left"/>
      <w:pPr>
        <w:ind w:left="3366" w:hanging="360"/>
      </w:pPr>
      <w:rPr>
        <w:rFonts w:ascii="Calibri" w:eastAsiaTheme="minorHAnsi" w:hAnsi="Calibri" w:cstheme="minorBidi" w:hint="default"/>
      </w:rPr>
    </w:lvl>
    <w:lvl w:ilvl="1" w:tplc="0C0A0003">
      <w:start w:val="1"/>
      <w:numFmt w:val="bullet"/>
      <w:lvlText w:val="o"/>
      <w:lvlJc w:val="left"/>
      <w:pPr>
        <w:ind w:left="4086" w:hanging="360"/>
      </w:pPr>
      <w:rPr>
        <w:rFonts w:ascii="Courier New" w:hAnsi="Courier New" w:cs="Courier New" w:hint="default"/>
      </w:rPr>
    </w:lvl>
    <w:lvl w:ilvl="2" w:tplc="0C0A0005" w:tentative="1">
      <w:start w:val="1"/>
      <w:numFmt w:val="bullet"/>
      <w:lvlText w:val=""/>
      <w:lvlJc w:val="left"/>
      <w:pPr>
        <w:ind w:left="4806" w:hanging="360"/>
      </w:pPr>
      <w:rPr>
        <w:rFonts w:ascii="Wingdings" w:hAnsi="Wingdings" w:hint="default"/>
      </w:rPr>
    </w:lvl>
    <w:lvl w:ilvl="3" w:tplc="0C0A0001" w:tentative="1">
      <w:start w:val="1"/>
      <w:numFmt w:val="bullet"/>
      <w:lvlText w:val=""/>
      <w:lvlJc w:val="left"/>
      <w:pPr>
        <w:ind w:left="5526" w:hanging="360"/>
      </w:pPr>
      <w:rPr>
        <w:rFonts w:ascii="Symbol" w:hAnsi="Symbol" w:hint="default"/>
      </w:rPr>
    </w:lvl>
    <w:lvl w:ilvl="4" w:tplc="0C0A0003" w:tentative="1">
      <w:start w:val="1"/>
      <w:numFmt w:val="bullet"/>
      <w:lvlText w:val="o"/>
      <w:lvlJc w:val="left"/>
      <w:pPr>
        <w:ind w:left="6246" w:hanging="360"/>
      </w:pPr>
      <w:rPr>
        <w:rFonts w:ascii="Courier New" w:hAnsi="Courier New" w:cs="Courier New" w:hint="default"/>
      </w:rPr>
    </w:lvl>
    <w:lvl w:ilvl="5" w:tplc="0C0A0005" w:tentative="1">
      <w:start w:val="1"/>
      <w:numFmt w:val="bullet"/>
      <w:lvlText w:val=""/>
      <w:lvlJc w:val="left"/>
      <w:pPr>
        <w:ind w:left="6966" w:hanging="360"/>
      </w:pPr>
      <w:rPr>
        <w:rFonts w:ascii="Wingdings" w:hAnsi="Wingdings" w:hint="default"/>
      </w:rPr>
    </w:lvl>
    <w:lvl w:ilvl="6" w:tplc="0C0A0001" w:tentative="1">
      <w:start w:val="1"/>
      <w:numFmt w:val="bullet"/>
      <w:lvlText w:val=""/>
      <w:lvlJc w:val="left"/>
      <w:pPr>
        <w:ind w:left="7686" w:hanging="360"/>
      </w:pPr>
      <w:rPr>
        <w:rFonts w:ascii="Symbol" w:hAnsi="Symbol" w:hint="default"/>
      </w:rPr>
    </w:lvl>
    <w:lvl w:ilvl="7" w:tplc="0C0A0003" w:tentative="1">
      <w:start w:val="1"/>
      <w:numFmt w:val="bullet"/>
      <w:lvlText w:val="o"/>
      <w:lvlJc w:val="left"/>
      <w:pPr>
        <w:ind w:left="8406" w:hanging="360"/>
      </w:pPr>
      <w:rPr>
        <w:rFonts w:ascii="Courier New" w:hAnsi="Courier New" w:cs="Courier New" w:hint="default"/>
      </w:rPr>
    </w:lvl>
    <w:lvl w:ilvl="8" w:tplc="0C0A0005" w:tentative="1">
      <w:start w:val="1"/>
      <w:numFmt w:val="bullet"/>
      <w:lvlText w:val=""/>
      <w:lvlJc w:val="left"/>
      <w:pPr>
        <w:ind w:left="9126" w:hanging="360"/>
      </w:pPr>
      <w:rPr>
        <w:rFonts w:ascii="Wingdings" w:hAnsi="Wingdings" w:hint="default"/>
      </w:rPr>
    </w:lvl>
  </w:abstractNum>
  <w:abstractNum w:abstractNumId="4">
    <w:nsid w:val="63C244AB"/>
    <w:multiLevelType w:val="hybridMultilevel"/>
    <w:tmpl w:val="D7F43D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F4421B"/>
    <w:multiLevelType w:val="hybridMultilevel"/>
    <w:tmpl w:val="F3AA7148"/>
    <w:lvl w:ilvl="0" w:tplc="8230E6E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67946636"/>
    <w:multiLevelType w:val="hybridMultilevel"/>
    <w:tmpl w:val="1C16D2BE"/>
    <w:lvl w:ilvl="0" w:tplc="64A0D36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6A1D22CC"/>
    <w:multiLevelType w:val="hybridMultilevel"/>
    <w:tmpl w:val="C6F2C13A"/>
    <w:lvl w:ilvl="0" w:tplc="9CDE8BF6">
      <w:start w:val="1"/>
      <w:numFmt w:val="decimal"/>
      <w:lvlText w:val="%1."/>
      <w:lvlJc w:val="left"/>
      <w:pPr>
        <w:ind w:left="1497" w:hanging="360"/>
      </w:pPr>
      <w:rPr>
        <w:rFonts w:hint="default"/>
      </w:rPr>
    </w:lvl>
    <w:lvl w:ilvl="1" w:tplc="0C0A0019" w:tentative="1">
      <w:start w:val="1"/>
      <w:numFmt w:val="lowerLetter"/>
      <w:lvlText w:val="%2."/>
      <w:lvlJc w:val="left"/>
      <w:pPr>
        <w:ind w:left="2217" w:hanging="360"/>
      </w:pPr>
    </w:lvl>
    <w:lvl w:ilvl="2" w:tplc="0C0A001B" w:tentative="1">
      <w:start w:val="1"/>
      <w:numFmt w:val="lowerRoman"/>
      <w:lvlText w:val="%3."/>
      <w:lvlJc w:val="right"/>
      <w:pPr>
        <w:ind w:left="2937" w:hanging="180"/>
      </w:pPr>
    </w:lvl>
    <w:lvl w:ilvl="3" w:tplc="0C0A000F" w:tentative="1">
      <w:start w:val="1"/>
      <w:numFmt w:val="decimal"/>
      <w:lvlText w:val="%4."/>
      <w:lvlJc w:val="left"/>
      <w:pPr>
        <w:ind w:left="3657" w:hanging="360"/>
      </w:pPr>
    </w:lvl>
    <w:lvl w:ilvl="4" w:tplc="0C0A0019" w:tentative="1">
      <w:start w:val="1"/>
      <w:numFmt w:val="lowerLetter"/>
      <w:lvlText w:val="%5."/>
      <w:lvlJc w:val="left"/>
      <w:pPr>
        <w:ind w:left="4377" w:hanging="360"/>
      </w:pPr>
    </w:lvl>
    <w:lvl w:ilvl="5" w:tplc="0C0A001B" w:tentative="1">
      <w:start w:val="1"/>
      <w:numFmt w:val="lowerRoman"/>
      <w:lvlText w:val="%6."/>
      <w:lvlJc w:val="right"/>
      <w:pPr>
        <w:ind w:left="5097" w:hanging="180"/>
      </w:pPr>
    </w:lvl>
    <w:lvl w:ilvl="6" w:tplc="0C0A000F" w:tentative="1">
      <w:start w:val="1"/>
      <w:numFmt w:val="decimal"/>
      <w:lvlText w:val="%7."/>
      <w:lvlJc w:val="left"/>
      <w:pPr>
        <w:ind w:left="5817" w:hanging="360"/>
      </w:pPr>
    </w:lvl>
    <w:lvl w:ilvl="7" w:tplc="0C0A0019" w:tentative="1">
      <w:start w:val="1"/>
      <w:numFmt w:val="lowerLetter"/>
      <w:lvlText w:val="%8."/>
      <w:lvlJc w:val="left"/>
      <w:pPr>
        <w:ind w:left="6537" w:hanging="360"/>
      </w:pPr>
    </w:lvl>
    <w:lvl w:ilvl="8" w:tplc="0C0A001B" w:tentative="1">
      <w:start w:val="1"/>
      <w:numFmt w:val="lowerRoman"/>
      <w:lvlText w:val="%9."/>
      <w:lvlJc w:val="right"/>
      <w:pPr>
        <w:ind w:left="7257" w:hanging="180"/>
      </w:pPr>
    </w:lvl>
  </w:abstractNum>
  <w:abstractNum w:abstractNumId="8">
    <w:nsid w:val="79F219FA"/>
    <w:multiLevelType w:val="hybridMultilevel"/>
    <w:tmpl w:val="6862FA64"/>
    <w:lvl w:ilvl="0" w:tplc="06FAEDDA">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0" w:hanging="360"/>
      </w:pPr>
      <w:rPr>
        <w:rFonts w:ascii="Wingdings" w:hAnsi="Wingdings" w:hint="default"/>
      </w:rPr>
    </w:lvl>
    <w:lvl w:ilvl="3" w:tplc="0C0A0001" w:tentative="1">
      <w:start w:val="1"/>
      <w:numFmt w:val="bullet"/>
      <w:lvlText w:val=""/>
      <w:lvlJc w:val="left"/>
      <w:pPr>
        <w:ind w:left="720" w:hanging="360"/>
      </w:pPr>
      <w:rPr>
        <w:rFonts w:ascii="Symbol" w:hAnsi="Symbol" w:hint="default"/>
      </w:rPr>
    </w:lvl>
    <w:lvl w:ilvl="4" w:tplc="0C0A0003" w:tentative="1">
      <w:start w:val="1"/>
      <w:numFmt w:val="bullet"/>
      <w:lvlText w:val="o"/>
      <w:lvlJc w:val="left"/>
      <w:pPr>
        <w:ind w:left="1440" w:hanging="360"/>
      </w:pPr>
      <w:rPr>
        <w:rFonts w:ascii="Courier New" w:hAnsi="Courier New" w:cs="Courier New" w:hint="default"/>
      </w:rPr>
    </w:lvl>
    <w:lvl w:ilvl="5" w:tplc="0C0A0005" w:tentative="1">
      <w:start w:val="1"/>
      <w:numFmt w:val="bullet"/>
      <w:lvlText w:val=""/>
      <w:lvlJc w:val="left"/>
      <w:pPr>
        <w:ind w:left="2160" w:hanging="360"/>
      </w:pPr>
      <w:rPr>
        <w:rFonts w:ascii="Wingdings" w:hAnsi="Wingdings" w:hint="default"/>
      </w:rPr>
    </w:lvl>
    <w:lvl w:ilvl="6" w:tplc="0C0A0001" w:tentative="1">
      <w:start w:val="1"/>
      <w:numFmt w:val="bullet"/>
      <w:lvlText w:val=""/>
      <w:lvlJc w:val="left"/>
      <w:pPr>
        <w:ind w:left="2880" w:hanging="360"/>
      </w:pPr>
      <w:rPr>
        <w:rFonts w:ascii="Symbol" w:hAnsi="Symbol" w:hint="default"/>
      </w:rPr>
    </w:lvl>
    <w:lvl w:ilvl="7" w:tplc="0C0A0003" w:tentative="1">
      <w:start w:val="1"/>
      <w:numFmt w:val="bullet"/>
      <w:lvlText w:val="o"/>
      <w:lvlJc w:val="left"/>
      <w:pPr>
        <w:ind w:left="3600" w:hanging="360"/>
      </w:pPr>
      <w:rPr>
        <w:rFonts w:ascii="Courier New" w:hAnsi="Courier New" w:cs="Courier New" w:hint="default"/>
      </w:rPr>
    </w:lvl>
    <w:lvl w:ilvl="8" w:tplc="0C0A0005" w:tentative="1">
      <w:start w:val="1"/>
      <w:numFmt w:val="bullet"/>
      <w:lvlText w:val=""/>
      <w:lvlJc w:val="left"/>
      <w:pPr>
        <w:ind w:left="4320" w:hanging="360"/>
      </w:pPr>
      <w:rPr>
        <w:rFonts w:ascii="Wingdings" w:hAnsi="Wingdings" w:hint="default"/>
      </w:rPr>
    </w:lvl>
  </w:abstractNum>
  <w:abstractNum w:abstractNumId="9">
    <w:nsid w:val="7B1115C5"/>
    <w:multiLevelType w:val="hybridMultilevel"/>
    <w:tmpl w:val="76C85480"/>
    <w:lvl w:ilvl="0" w:tplc="A19662F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9"/>
  </w:num>
  <w:num w:numId="2">
    <w:abstractNumId w:val="7"/>
  </w:num>
  <w:num w:numId="3">
    <w:abstractNumId w:val="1"/>
  </w:num>
  <w:num w:numId="4">
    <w:abstractNumId w:val="5"/>
  </w:num>
  <w:num w:numId="5">
    <w:abstractNumId w:val="6"/>
  </w:num>
  <w:num w:numId="6">
    <w:abstractNumId w:val="3"/>
  </w:num>
  <w:num w:numId="7">
    <w:abstractNumId w:val="2"/>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F4"/>
    <w:rsid w:val="000160A7"/>
    <w:rsid w:val="00096FBC"/>
    <w:rsid w:val="0012744C"/>
    <w:rsid w:val="00157FBB"/>
    <w:rsid w:val="001A4967"/>
    <w:rsid w:val="001F50BD"/>
    <w:rsid w:val="002307C4"/>
    <w:rsid w:val="002A397B"/>
    <w:rsid w:val="002C598F"/>
    <w:rsid w:val="002E667F"/>
    <w:rsid w:val="003315DF"/>
    <w:rsid w:val="00344EC4"/>
    <w:rsid w:val="003968AB"/>
    <w:rsid w:val="003E4503"/>
    <w:rsid w:val="004047CF"/>
    <w:rsid w:val="004420DC"/>
    <w:rsid w:val="004A4525"/>
    <w:rsid w:val="004D108D"/>
    <w:rsid w:val="004E13EF"/>
    <w:rsid w:val="004E19B5"/>
    <w:rsid w:val="004F36B3"/>
    <w:rsid w:val="004F5A7F"/>
    <w:rsid w:val="00576E7B"/>
    <w:rsid w:val="00577762"/>
    <w:rsid w:val="005D056C"/>
    <w:rsid w:val="005E3BD0"/>
    <w:rsid w:val="00602207"/>
    <w:rsid w:val="0063519E"/>
    <w:rsid w:val="006D624B"/>
    <w:rsid w:val="00726C4E"/>
    <w:rsid w:val="007C0D3B"/>
    <w:rsid w:val="00821C4E"/>
    <w:rsid w:val="00881023"/>
    <w:rsid w:val="008923C8"/>
    <w:rsid w:val="008A36D0"/>
    <w:rsid w:val="008A4123"/>
    <w:rsid w:val="008E6DD7"/>
    <w:rsid w:val="008F7F21"/>
    <w:rsid w:val="00933113"/>
    <w:rsid w:val="00970340"/>
    <w:rsid w:val="00971B4B"/>
    <w:rsid w:val="00A06C13"/>
    <w:rsid w:val="00A46FDF"/>
    <w:rsid w:val="00AC38B8"/>
    <w:rsid w:val="00AD5C3F"/>
    <w:rsid w:val="00AD6FD7"/>
    <w:rsid w:val="00B61471"/>
    <w:rsid w:val="00C002BA"/>
    <w:rsid w:val="00C04807"/>
    <w:rsid w:val="00D120AF"/>
    <w:rsid w:val="00D56311"/>
    <w:rsid w:val="00DB29B5"/>
    <w:rsid w:val="00DE1A27"/>
    <w:rsid w:val="00DF08E7"/>
    <w:rsid w:val="00E30E29"/>
    <w:rsid w:val="00E56E0A"/>
    <w:rsid w:val="00E73D2F"/>
    <w:rsid w:val="00ED743B"/>
    <w:rsid w:val="00EF46AC"/>
    <w:rsid w:val="00F15A42"/>
    <w:rsid w:val="00F17226"/>
    <w:rsid w:val="00F251FA"/>
    <w:rsid w:val="00F358F4"/>
    <w:rsid w:val="00F456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5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35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358F4"/>
    <w:rPr>
      <w:rFonts w:ascii="Tahoma" w:hAnsi="Tahoma" w:cs="Tahoma"/>
      <w:sz w:val="16"/>
      <w:szCs w:val="16"/>
    </w:rPr>
  </w:style>
  <w:style w:type="character" w:customStyle="1" w:styleId="TextodegloboCar">
    <w:name w:val="Texto de globo Car"/>
    <w:basedOn w:val="Fuentedeprrafopredeter"/>
    <w:link w:val="Textodeglobo"/>
    <w:rsid w:val="00F358F4"/>
    <w:rPr>
      <w:rFonts w:ascii="Tahoma" w:hAnsi="Tahoma" w:cs="Tahoma"/>
      <w:sz w:val="16"/>
      <w:szCs w:val="16"/>
    </w:rPr>
  </w:style>
  <w:style w:type="paragraph" w:styleId="Prrafodelista">
    <w:name w:val="List Paragraph"/>
    <w:basedOn w:val="Normal"/>
    <w:uiPriority w:val="34"/>
    <w:qFormat/>
    <w:rsid w:val="00F358F4"/>
    <w:pPr>
      <w:ind w:left="720"/>
      <w:contextualSpacing/>
    </w:pPr>
  </w:style>
  <w:style w:type="paragraph" w:styleId="Encabezado">
    <w:name w:val="header"/>
    <w:basedOn w:val="Normal"/>
    <w:link w:val="EncabezadoCar"/>
    <w:uiPriority w:val="99"/>
    <w:rsid w:val="00F358F4"/>
    <w:pPr>
      <w:tabs>
        <w:tab w:val="center" w:pos="4252"/>
        <w:tab w:val="right" w:pos="8504"/>
      </w:tabs>
    </w:pPr>
  </w:style>
  <w:style w:type="character" w:customStyle="1" w:styleId="EncabezadoCar">
    <w:name w:val="Encabezado Car"/>
    <w:basedOn w:val="Fuentedeprrafopredeter"/>
    <w:link w:val="Encabezado"/>
    <w:uiPriority w:val="99"/>
    <w:rsid w:val="00F358F4"/>
    <w:rPr>
      <w:sz w:val="24"/>
      <w:szCs w:val="24"/>
    </w:rPr>
  </w:style>
  <w:style w:type="paragraph" w:styleId="Piedepgina">
    <w:name w:val="footer"/>
    <w:basedOn w:val="Normal"/>
    <w:link w:val="PiedepginaCar"/>
    <w:uiPriority w:val="99"/>
    <w:rsid w:val="00F358F4"/>
    <w:pPr>
      <w:tabs>
        <w:tab w:val="center" w:pos="4252"/>
        <w:tab w:val="right" w:pos="8504"/>
      </w:tabs>
    </w:pPr>
  </w:style>
  <w:style w:type="character" w:customStyle="1" w:styleId="PiedepginaCar">
    <w:name w:val="Pie de página Car"/>
    <w:basedOn w:val="Fuentedeprrafopredeter"/>
    <w:link w:val="Piedepgina"/>
    <w:uiPriority w:val="99"/>
    <w:rsid w:val="00F358F4"/>
    <w:rPr>
      <w:sz w:val="24"/>
      <w:szCs w:val="24"/>
    </w:rPr>
  </w:style>
  <w:style w:type="paragraph" w:styleId="NormalWeb">
    <w:name w:val="Normal (Web)"/>
    <w:basedOn w:val="Normal"/>
    <w:uiPriority w:val="99"/>
    <w:semiHidden/>
    <w:unhideWhenUsed/>
    <w:rsid w:val="00AD6FD7"/>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35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358F4"/>
    <w:rPr>
      <w:rFonts w:ascii="Tahoma" w:hAnsi="Tahoma" w:cs="Tahoma"/>
      <w:sz w:val="16"/>
      <w:szCs w:val="16"/>
    </w:rPr>
  </w:style>
  <w:style w:type="character" w:customStyle="1" w:styleId="TextodegloboCar">
    <w:name w:val="Texto de globo Car"/>
    <w:basedOn w:val="Fuentedeprrafopredeter"/>
    <w:link w:val="Textodeglobo"/>
    <w:rsid w:val="00F358F4"/>
    <w:rPr>
      <w:rFonts w:ascii="Tahoma" w:hAnsi="Tahoma" w:cs="Tahoma"/>
      <w:sz w:val="16"/>
      <w:szCs w:val="16"/>
    </w:rPr>
  </w:style>
  <w:style w:type="paragraph" w:styleId="Prrafodelista">
    <w:name w:val="List Paragraph"/>
    <w:basedOn w:val="Normal"/>
    <w:uiPriority w:val="34"/>
    <w:qFormat/>
    <w:rsid w:val="00F358F4"/>
    <w:pPr>
      <w:ind w:left="720"/>
      <w:contextualSpacing/>
    </w:pPr>
  </w:style>
  <w:style w:type="paragraph" w:styleId="Encabezado">
    <w:name w:val="header"/>
    <w:basedOn w:val="Normal"/>
    <w:link w:val="EncabezadoCar"/>
    <w:uiPriority w:val="99"/>
    <w:rsid w:val="00F358F4"/>
    <w:pPr>
      <w:tabs>
        <w:tab w:val="center" w:pos="4252"/>
        <w:tab w:val="right" w:pos="8504"/>
      </w:tabs>
    </w:pPr>
  </w:style>
  <w:style w:type="character" w:customStyle="1" w:styleId="EncabezadoCar">
    <w:name w:val="Encabezado Car"/>
    <w:basedOn w:val="Fuentedeprrafopredeter"/>
    <w:link w:val="Encabezado"/>
    <w:uiPriority w:val="99"/>
    <w:rsid w:val="00F358F4"/>
    <w:rPr>
      <w:sz w:val="24"/>
      <w:szCs w:val="24"/>
    </w:rPr>
  </w:style>
  <w:style w:type="paragraph" w:styleId="Piedepgina">
    <w:name w:val="footer"/>
    <w:basedOn w:val="Normal"/>
    <w:link w:val="PiedepginaCar"/>
    <w:uiPriority w:val="99"/>
    <w:rsid w:val="00F358F4"/>
    <w:pPr>
      <w:tabs>
        <w:tab w:val="center" w:pos="4252"/>
        <w:tab w:val="right" w:pos="8504"/>
      </w:tabs>
    </w:pPr>
  </w:style>
  <w:style w:type="character" w:customStyle="1" w:styleId="PiedepginaCar">
    <w:name w:val="Pie de página Car"/>
    <w:basedOn w:val="Fuentedeprrafopredeter"/>
    <w:link w:val="Piedepgina"/>
    <w:uiPriority w:val="99"/>
    <w:rsid w:val="00F358F4"/>
    <w:rPr>
      <w:sz w:val="24"/>
      <w:szCs w:val="24"/>
    </w:rPr>
  </w:style>
  <w:style w:type="paragraph" w:styleId="NormalWeb">
    <w:name w:val="Normal (Web)"/>
    <w:basedOn w:val="Normal"/>
    <w:uiPriority w:val="99"/>
    <w:semiHidden/>
    <w:unhideWhenUsed/>
    <w:rsid w:val="00AD6FD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5CD2-9316-481D-8D0F-96C47D7C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Reoyo, María Antonia</dc:creator>
  <cp:lastModifiedBy>María</cp:lastModifiedBy>
  <cp:revision>2</cp:revision>
  <cp:lastPrinted>2014-07-30T11:25:00Z</cp:lastPrinted>
  <dcterms:created xsi:type="dcterms:W3CDTF">2020-03-26T16:43:00Z</dcterms:created>
  <dcterms:modified xsi:type="dcterms:W3CDTF">2020-03-26T16:43:00Z</dcterms:modified>
</cp:coreProperties>
</file>